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14"/>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bookmarkStart w:id="0" w:name="_bookmark0"/>
      <w:bookmarkEnd w:id="0"/>
    </w:p>
    <w:p w14:paraId="4FB6DEFC">
      <w:pPr>
        <w:pStyle w:val="14"/>
        <w:rPr>
          <w:rFonts w:hint="eastAsia" w:hAnsi="宋体"/>
          <w:sz w:val="72"/>
          <w:szCs w:val="72"/>
        </w:rPr>
      </w:pPr>
    </w:p>
    <w:p w14:paraId="62447CE0">
      <w:pPr>
        <w:pStyle w:val="14"/>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4"/>
        <w:rPr>
          <w:rFonts w:hint="eastAsia" w:hAnsi="宋体"/>
          <w:sz w:val="72"/>
          <w:szCs w:val="72"/>
        </w:rPr>
      </w:pPr>
      <w:r>
        <w:rPr>
          <w:rFonts w:hint="eastAsia" w:hAnsi="宋体"/>
          <w:sz w:val="72"/>
          <w:szCs w:val="72"/>
          <w:lang w:val="en-US" w:eastAsia="zh-CN"/>
        </w:rPr>
        <w:t>机电技术应用</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6AAAD436">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人</w:t>
      </w:r>
    </w:p>
    <w:p w14:paraId="1C1AEE6C">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才</w:t>
      </w:r>
    </w:p>
    <w:p w14:paraId="7C5A2B01">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培</w:t>
      </w:r>
    </w:p>
    <w:p w14:paraId="3465C125">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养</w:t>
      </w:r>
    </w:p>
    <w:p w14:paraId="0FA94D77">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方</w:t>
      </w:r>
    </w:p>
    <w:p w14:paraId="778740F0">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案</w:t>
      </w:r>
    </w:p>
    <w:p w14:paraId="3E25C8E3">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（2025）</w:t>
      </w:r>
    </w:p>
    <w:p w14:paraId="25F8CEB3">
      <w:pPr>
        <w:pStyle w:val="15"/>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16"/>
        <w:rPr>
          <w:sz w:val="30"/>
          <w:szCs w:val="30"/>
        </w:rPr>
      </w:pPr>
      <w:r>
        <w:rPr>
          <w:rFonts w:hint="eastAsia"/>
          <w:bCs/>
          <w:szCs w:val="44"/>
        </w:rPr>
        <w:t>福建省龙岩市农业学校</w:t>
      </w:r>
    </w:p>
    <w:p w14:paraId="0937A1B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b/>
          <w:bCs/>
          <w:kern w:val="44"/>
          <w:sz w:val="24"/>
          <w:szCs w:val="24"/>
        </w:rPr>
      </w:pPr>
    </w:p>
    <w:p w14:paraId="71642DE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b/>
          <w:bCs/>
          <w:kern w:val="44"/>
          <w:sz w:val="24"/>
          <w:szCs w:val="24"/>
        </w:rPr>
      </w:pPr>
    </w:p>
    <w:p w14:paraId="54DBEAD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b/>
          <w:bCs/>
          <w:kern w:val="44"/>
          <w:sz w:val="24"/>
          <w:szCs w:val="24"/>
        </w:rPr>
      </w:pPr>
    </w:p>
    <w:p w14:paraId="4FD1951C">
      <w:pPr>
        <w:keepNext w:val="0"/>
        <w:keepLines w:val="0"/>
        <w:pageBreakBefore w:val="0"/>
        <w:kinsoku/>
        <w:wordWrap/>
        <w:overflowPunct/>
        <w:topLinePunct w:val="0"/>
        <w:autoSpaceDE w:val="0"/>
        <w:autoSpaceDN w:val="0"/>
        <w:bidi w:val="0"/>
        <w:adjustRightInd/>
        <w:snapToGrid/>
        <w:spacing w:beforeAutospacing="0" w:afterAutospacing="0" w:line="440" w:lineRule="exact"/>
        <w:ind w:right="0"/>
        <w:rPr>
          <w:rFonts w:hint="eastAsia" w:ascii="宋体" w:hAnsi="宋体" w:eastAsia="宋体" w:cs="宋体"/>
          <w:b/>
          <w:kern w:val="24"/>
          <w:sz w:val="24"/>
          <w:szCs w:val="24"/>
        </w:rPr>
      </w:pPr>
    </w:p>
    <w:p w14:paraId="2C62415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both"/>
        <w:rPr>
          <w:rFonts w:hint="eastAsia" w:ascii="宋体" w:hAnsi="宋体" w:eastAsia="宋体" w:cs="宋体"/>
          <w:b/>
          <w:kern w:val="24"/>
          <w:sz w:val="24"/>
          <w:szCs w:val="24"/>
        </w:rPr>
      </w:pPr>
    </w:p>
    <w:p w14:paraId="1C4B1158">
      <w:pPr>
        <w:pStyle w:val="8"/>
        <w:keepNext w:val="0"/>
        <w:keepLines w:val="0"/>
        <w:pageBreakBefore w:val="0"/>
        <w:tabs>
          <w:tab w:val="right" w:leader="dot" w:pos="8296"/>
        </w:tabs>
        <w:kinsoku/>
        <w:wordWrap/>
        <w:overflowPunct/>
        <w:topLinePunct w:val="0"/>
        <w:autoSpaceDE w:val="0"/>
        <w:autoSpaceDN w:val="0"/>
        <w:bidi w:val="0"/>
        <w:adjustRightInd/>
        <w:snapToGrid/>
        <w:spacing w:before="0" w:beforeAutospacing="0" w:afterAutospacing="0" w:line="440" w:lineRule="exact"/>
        <w:ind w:left="0" w:leftChars="0" w:right="0"/>
        <w:jc w:val="center"/>
        <w:outlineLvl w:val="0"/>
        <w:rPr>
          <w:rFonts w:hint="eastAsia" w:ascii="宋体" w:hAnsi="宋体" w:eastAsia="宋体" w:cs="宋体"/>
          <w:b w:val="0"/>
          <w:kern w:val="24"/>
          <w:sz w:val="24"/>
          <w:szCs w:val="24"/>
        </w:rPr>
      </w:pPr>
      <w:r>
        <w:rPr>
          <w:rFonts w:hint="eastAsia" w:ascii="宋体" w:hAnsi="宋体" w:eastAsia="宋体" w:cs="宋体"/>
          <w:b w:val="0"/>
          <w:kern w:val="24"/>
          <w:sz w:val="24"/>
          <w:szCs w:val="24"/>
        </w:rPr>
        <w:fldChar w:fldCharType="begin"/>
      </w:r>
      <w:r>
        <w:rPr>
          <w:rFonts w:hint="eastAsia" w:ascii="宋体" w:hAnsi="宋体" w:eastAsia="宋体" w:cs="宋体"/>
          <w:b w:val="0"/>
          <w:kern w:val="24"/>
          <w:sz w:val="24"/>
          <w:szCs w:val="24"/>
        </w:rPr>
        <w:instrText xml:space="preserve"> TOC \o "1-1" \h \z \u </w:instrText>
      </w:r>
      <w:r>
        <w:rPr>
          <w:rFonts w:hint="eastAsia" w:ascii="宋体" w:hAnsi="宋体" w:eastAsia="宋体" w:cs="宋体"/>
          <w:b w:val="0"/>
          <w:kern w:val="24"/>
          <w:sz w:val="24"/>
          <w:szCs w:val="24"/>
        </w:rPr>
        <w:fldChar w:fldCharType="separate"/>
      </w:r>
    </w:p>
    <w:sdt>
      <w:sdtPr>
        <w:rPr>
          <w:rFonts w:hint="eastAsia" w:ascii="宋体" w:hAnsi="宋体" w:eastAsia="宋体" w:cs="宋体"/>
          <w:b/>
          <w:bCs/>
          <w:sz w:val="30"/>
          <w:szCs w:val="30"/>
          <w:lang w:val="en-US" w:eastAsia="zh-CN" w:bidi="ar-SA"/>
        </w:rPr>
        <w:id w:val="147463118"/>
        <w15:color w:val="DBDBDB"/>
        <w:docPartObj>
          <w:docPartGallery w:val="Table of Contents"/>
          <w:docPartUnique/>
        </w:docPartObj>
      </w:sdtPr>
      <w:sdtEndPr>
        <w:rPr>
          <w:rFonts w:hint="eastAsia" w:ascii="仿宋" w:hAnsi="仿宋" w:eastAsia="仿宋" w:cs="仿宋"/>
          <w:b/>
          <w:bCs/>
          <w:sz w:val="22"/>
          <w:szCs w:val="22"/>
          <w:lang w:val="en-US" w:eastAsia="zh-CN" w:bidi="ar-SA"/>
        </w:rPr>
      </w:sdtEndPr>
      <w:sdtContent>
        <w:p w14:paraId="0D0FC212">
          <w:pPr>
            <w:spacing w:before="0" w:beforeLines="0" w:after="0" w:afterLines="0" w:line="240" w:lineRule="auto"/>
            <w:ind w:left="0" w:leftChars="0" w:right="0" w:rightChars="0" w:firstLine="0" w:firstLineChars="0"/>
            <w:jc w:val="center"/>
            <w:rPr>
              <w:rFonts w:hint="eastAsia" w:ascii="宋体" w:hAnsi="宋体" w:eastAsia="宋体" w:cs="宋体"/>
              <w:b/>
              <w:bCs/>
              <w:sz w:val="30"/>
              <w:szCs w:val="30"/>
            </w:rPr>
          </w:pPr>
          <w:r>
            <w:rPr>
              <w:rFonts w:hint="eastAsia" w:ascii="宋体" w:hAnsi="宋体" w:eastAsia="宋体" w:cs="宋体"/>
              <w:b/>
              <w:bCs/>
              <w:sz w:val="30"/>
              <w:szCs w:val="30"/>
            </w:rPr>
            <w:t>目</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录</w:t>
          </w:r>
        </w:p>
        <w:p w14:paraId="610FF72D">
          <w:pPr>
            <w:spacing w:before="0" w:beforeLines="0" w:after="0" w:afterLines="0" w:line="240" w:lineRule="auto"/>
            <w:ind w:left="0" w:leftChars="0" w:right="0" w:rightChars="0" w:firstLine="0" w:firstLineChars="0"/>
            <w:jc w:val="center"/>
            <w:rPr>
              <w:rFonts w:ascii="宋体" w:hAnsi="宋体" w:eastAsia="宋体"/>
              <w:sz w:val="21"/>
            </w:rPr>
          </w:pPr>
        </w:p>
        <w:p w14:paraId="7DF36441">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TOC \o "1-1" \h \u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_Toc9483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一、专业名称及代码</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_Toc9483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76AFCDA9">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_Toc4749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二、入学要求</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_Toc4749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73F06E36">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_Toc31411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kern w:val="44"/>
              <w:sz w:val="21"/>
              <w:szCs w:val="21"/>
              <w:lang w:val="en-US" w:eastAsia="zh-CN" w:bidi="ar-SA"/>
            </w:rPr>
            <w:t>三、修业年限</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_Toc31411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2AD8849B">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_Toc14577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四、职业面向</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_Toc14577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07C9F9C9">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_Toc16404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五、培养目标与培养规格</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_Toc16404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05991892">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_Toc13123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（一）培养目标</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_Toc13123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3AF2BDD7">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_Toc5475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（二）培养规格</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_Toc5475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0BA0DCB4">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_Toc31663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六、课程设置及学时要求</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_Toc31663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58F85B26">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_Toc9144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（一）公共基础课程</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_Toc9144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42F2ACBA">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_Toc22530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（二）专业技能课程</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_Toc22530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8</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74E5BFB6">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_Toc15967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七、 教学进程总体安排</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_Toc15967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12</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5BE5B42E">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_Toc10315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八、实施保障</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_Toc10315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15</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1E2C65F3">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_Toc24431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九、毕业要求</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_Toc24431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73034471">
          <w:pPr>
            <w:pStyle w:val="8"/>
            <w:tabs>
              <w:tab w:val="right" w:leader="dot" w:pos="8316"/>
            </w:tabs>
            <w:rPr>
              <w:rFonts w:hint="eastAsia" w:ascii="宋体" w:hAnsi="宋体" w:eastAsia="宋体" w:cs="宋体"/>
              <w:b w:val="0"/>
              <w:bCs w:val="0"/>
              <w:sz w:val="21"/>
              <w:szCs w:val="21"/>
            </w:rPr>
          </w:pP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_Toc14201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十、说明</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_Toc14201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210839EB">
          <w:pPr>
            <w:rPr>
              <w:rFonts w:hint="eastAsia" w:ascii="仿宋" w:hAnsi="仿宋" w:eastAsia="仿宋" w:cs="仿宋"/>
              <w:sz w:val="22"/>
              <w:szCs w:val="22"/>
              <w:lang w:val="en-US" w:eastAsia="zh-CN" w:bidi="ar-SA"/>
            </w:rPr>
          </w:pPr>
          <w:r>
            <w:rPr>
              <w:rFonts w:hint="eastAsia" w:ascii="宋体" w:hAnsi="宋体" w:eastAsia="宋体" w:cs="宋体"/>
              <w:b w:val="0"/>
              <w:bCs w:val="0"/>
              <w:sz w:val="21"/>
              <w:szCs w:val="21"/>
            </w:rPr>
            <w:fldChar w:fldCharType="end"/>
          </w:r>
        </w:p>
      </w:sdtContent>
    </w:sdt>
    <w:p w14:paraId="17A7A029">
      <w:pPr>
        <w:rPr>
          <w:rFonts w:hint="eastAsia" w:ascii="仿宋" w:hAnsi="仿宋" w:eastAsia="仿宋" w:cs="仿宋"/>
          <w:sz w:val="22"/>
          <w:szCs w:val="22"/>
          <w:lang w:val="en-US" w:eastAsia="zh-CN" w:bidi="ar-SA"/>
        </w:rPr>
      </w:pPr>
    </w:p>
    <w:p w14:paraId="3F5C6E11">
      <w:pPr>
        <w:pStyle w:val="8"/>
        <w:keepNext w:val="0"/>
        <w:keepLines w:val="0"/>
        <w:pageBreakBefore w:val="0"/>
        <w:tabs>
          <w:tab w:val="right" w:leader="dot" w:pos="8296"/>
        </w:tabs>
        <w:kinsoku/>
        <w:wordWrap/>
        <w:overflowPunct/>
        <w:topLinePunct w:val="0"/>
        <w:autoSpaceDE w:val="0"/>
        <w:autoSpaceDN w:val="0"/>
        <w:bidi w:val="0"/>
        <w:adjustRightInd/>
        <w:snapToGrid/>
        <w:spacing w:before="0" w:beforeAutospacing="0" w:afterAutospacing="0" w:line="440" w:lineRule="exact"/>
        <w:ind w:left="0" w:leftChars="0" w:right="0"/>
        <w:jc w:val="center"/>
        <w:rPr>
          <w:rFonts w:hint="eastAsia" w:ascii="宋体" w:hAnsi="宋体" w:eastAsia="宋体" w:cs="宋体"/>
          <w:sz w:val="24"/>
          <w:szCs w:val="24"/>
        </w:rPr>
      </w:pPr>
    </w:p>
    <w:p w14:paraId="0359B6D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4"/>
          <w:szCs w:val="24"/>
        </w:rPr>
      </w:pPr>
      <w:r>
        <w:rPr>
          <w:rFonts w:hint="eastAsia" w:ascii="宋体" w:hAnsi="宋体" w:eastAsia="宋体" w:cs="宋体"/>
          <w:b/>
          <w:kern w:val="24"/>
          <w:sz w:val="24"/>
          <w:szCs w:val="24"/>
        </w:rPr>
        <w:fldChar w:fldCharType="end"/>
      </w:r>
    </w:p>
    <w:p w14:paraId="7590097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4"/>
          <w:szCs w:val="24"/>
        </w:rPr>
      </w:pPr>
    </w:p>
    <w:p w14:paraId="074E74D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4"/>
          <w:szCs w:val="24"/>
        </w:rPr>
      </w:pPr>
    </w:p>
    <w:p w14:paraId="742AF6C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4"/>
          <w:szCs w:val="24"/>
        </w:rPr>
      </w:pPr>
    </w:p>
    <w:p w14:paraId="296D3D5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4"/>
          <w:szCs w:val="24"/>
        </w:rPr>
      </w:pPr>
    </w:p>
    <w:p w14:paraId="39424A3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4"/>
          <w:szCs w:val="24"/>
        </w:rPr>
      </w:pPr>
    </w:p>
    <w:p w14:paraId="5A9EA3E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4"/>
          <w:szCs w:val="24"/>
        </w:rPr>
      </w:pPr>
    </w:p>
    <w:p w14:paraId="5A8E2A4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4"/>
          <w:szCs w:val="24"/>
        </w:rPr>
      </w:pPr>
    </w:p>
    <w:p w14:paraId="61D4A5DE">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4"/>
          <w:szCs w:val="24"/>
        </w:rPr>
      </w:pPr>
    </w:p>
    <w:p w14:paraId="77E9E290">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sectPr>
          <w:headerReference r:id="rId3" w:type="default"/>
          <w:footerReference r:id="rId4" w:type="default"/>
          <w:footerReference r:id="rId5" w:type="even"/>
          <w:pgSz w:w="11910" w:h="16840"/>
          <w:pgMar w:top="1440" w:right="1797" w:bottom="1440" w:left="1797" w:header="680" w:footer="680" w:gutter="0"/>
          <w:cols w:space="720" w:num="1"/>
          <w:titlePg/>
        </w:sectPr>
      </w:pPr>
      <w:bookmarkStart w:id="1" w:name="_bookmark1"/>
      <w:bookmarkEnd w:id="1"/>
      <w:bookmarkStart w:id="2" w:name="_Toc9483"/>
    </w:p>
    <w:p w14:paraId="0434559F">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r>
        <w:rPr>
          <w:rFonts w:hint="eastAsia" w:ascii="宋体" w:hAnsi="宋体" w:eastAsia="宋体" w:cs="宋体"/>
          <w:b/>
          <w:sz w:val="24"/>
          <w:szCs w:val="24"/>
        </w:rPr>
        <w:t>一、专业名称及代码</w:t>
      </w:r>
      <w:bookmarkEnd w:id="2"/>
    </w:p>
    <w:p w14:paraId="5751FE07">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right="0" w:firstLine="480" w:firstLineChars="200"/>
        <w:rPr>
          <w:rFonts w:hint="eastAsia" w:ascii="宋体" w:hAnsi="宋体" w:eastAsia="宋体" w:cs="宋体"/>
          <w:sz w:val="24"/>
          <w:szCs w:val="24"/>
        </w:rPr>
      </w:pPr>
      <w:r>
        <w:rPr>
          <w:rFonts w:hint="eastAsia" w:ascii="宋体" w:hAnsi="宋体" w:eastAsia="宋体" w:cs="宋体"/>
          <w:sz w:val="24"/>
          <w:szCs w:val="24"/>
        </w:rPr>
        <w:t>专业名称：机电技术应用</w:t>
      </w:r>
    </w:p>
    <w:p w14:paraId="21167441">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right="0" w:firstLine="480" w:firstLineChars="200"/>
        <w:rPr>
          <w:rFonts w:hint="eastAsia" w:ascii="宋体" w:hAnsi="宋体" w:eastAsia="宋体" w:cs="宋体"/>
          <w:sz w:val="24"/>
          <w:szCs w:val="24"/>
        </w:rPr>
      </w:pPr>
      <w:r>
        <w:rPr>
          <w:rFonts w:hint="eastAsia" w:ascii="宋体" w:hAnsi="宋体" w:eastAsia="宋体" w:cs="宋体"/>
          <w:sz w:val="24"/>
          <w:szCs w:val="24"/>
        </w:rPr>
        <w:t>专业代码：660301</w:t>
      </w:r>
    </w:p>
    <w:p w14:paraId="1595BF62">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right="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专业大类：装备制造大类</w:t>
      </w:r>
    </w:p>
    <w:p w14:paraId="7A7F9AC3">
      <w:pPr>
        <w:pStyle w:val="2"/>
        <w:pageBreakBefore w:val="0"/>
        <w:kinsoku/>
        <w:wordWrap/>
        <w:overflowPunct/>
        <w:autoSpaceDE/>
        <w:autoSpaceDN/>
        <w:bidi w:val="0"/>
        <w:spacing w:before="0" w:beforeAutospacing="0" w:after="0" w:afterAutospacing="0" w:line="440" w:lineRule="exact"/>
        <w:ind w:left="0" w:leftChars="0" w:right="0" w:firstLine="0" w:firstLineChars="0"/>
        <w:outlineLvl w:val="0"/>
        <w:rPr>
          <w:rFonts w:hint="eastAsia" w:ascii="宋体" w:hAnsi="宋体" w:eastAsia="宋体" w:cs="宋体"/>
          <w:b w:val="0"/>
          <w:sz w:val="24"/>
          <w:szCs w:val="24"/>
        </w:rPr>
      </w:pPr>
      <w:bookmarkStart w:id="3" w:name="_Toc29758"/>
      <w:bookmarkStart w:id="4" w:name="_Toc18162"/>
      <w:bookmarkStart w:id="5" w:name="_Toc4749"/>
      <w:r>
        <w:rPr>
          <w:rFonts w:hint="eastAsia" w:ascii="宋体" w:hAnsi="宋体" w:eastAsia="宋体" w:cs="宋体"/>
          <w:sz w:val="24"/>
          <w:szCs w:val="24"/>
        </w:rPr>
        <w:t>二、入学要求</w:t>
      </w:r>
      <w:bookmarkEnd w:id="3"/>
      <w:bookmarkEnd w:id="4"/>
      <w:bookmarkEnd w:id="5"/>
    </w:p>
    <w:p w14:paraId="261A00E7">
      <w:pPr>
        <w:keepNext w:val="0"/>
        <w:keepLines w:val="0"/>
        <w:pageBreakBefore w:val="0"/>
        <w:widowControl/>
        <w:suppressLineNumbers w:val="0"/>
        <w:kinsoku/>
        <w:wordWrap/>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245C790F">
      <w:pPr>
        <w:keepNext w:val="0"/>
        <w:keepLines w:val="0"/>
        <w:pageBreakBefore w:val="0"/>
        <w:widowControl/>
        <w:suppressLineNumbers w:val="0"/>
        <w:kinsoku/>
        <w:wordWrap/>
        <w:overflowPunct/>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6" w:name="_Toc31411"/>
      <w:r>
        <w:rPr>
          <w:rFonts w:hint="eastAsia" w:ascii="宋体" w:hAnsi="宋体" w:eastAsia="宋体" w:cs="宋体"/>
          <w:b/>
          <w:bCs/>
          <w:kern w:val="44"/>
          <w:sz w:val="24"/>
          <w:szCs w:val="24"/>
          <w:lang w:val="en-US" w:eastAsia="zh-CN" w:bidi="ar-SA"/>
        </w:rPr>
        <w:t>三、修业年限</w:t>
      </w:r>
      <w:bookmarkEnd w:id="6"/>
      <w:r>
        <w:rPr>
          <w:rFonts w:hint="eastAsia" w:ascii="宋体" w:hAnsi="宋体" w:eastAsia="宋体" w:cs="宋体"/>
          <w:b/>
          <w:bCs/>
          <w:kern w:val="44"/>
          <w:sz w:val="24"/>
          <w:szCs w:val="24"/>
          <w:lang w:val="en-US" w:eastAsia="zh-CN" w:bidi="ar-SA"/>
        </w:rPr>
        <w:t xml:space="preserve"> </w:t>
      </w:r>
    </w:p>
    <w:p w14:paraId="606D787A">
      <w:pPr>
        <w:pageBreakBefore w:val="0"/>
        <w:kinsoku/>
        <w:wordWrap/>
        <w:overflowPunct/>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w:t>
      </w:r>
    </w:p>
    <w:p w14:paraId="312C9771">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7" w:name="_Toc14577"/>
      <w:r>
        <w:rPr>
          <w:rFonts w:hint="eastAsia" w:ascii="宋体" w:hAnsi="宋体" w:eastAsia="宋体" w:cs="宋体"/>
          <w:b/>
          <w:sz w:val="24"/>
          <w:szCs w:val="24"/>
        </w:rPr>
        <w:t>四、职业面向</w:t>
      </w:r>
      <w:bookmarkEnd w:id="7"/>
    </w:p>
    <w:p w14:paraId="18888304">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60" w:firstLineChars="150"/>
        <w:rPr>
          <w:rFonts w:hint="eastAsia" w:ascii="宋体" w:hAnsi="宋体" w:eastAsia="宋体" w:cs="宋体"/>
          <w:sz w:val="24"/>
          <w:szCs w:val="24"/>
        </w:rPr>
      </w:pPr>
      <w:r>
        <w:rPr>
          <w:rFonts w:hint="eastAsia" w:ascii="宋体" w:hAnsi="宋体" w:eastAsia="宋体" w:cs="宋体"/>
          <w:sz w:val="24"/>
          <w:szCs w:val="24"/>
        </w:rPr>
        <w:t xml:space="preserve">面向电工、机修钳工、机床装调维修工等职业，机电设备及自动化生产线的安装、调试、运行维护、机电产品维修与检测及售后服务等岗位群。 </w:t>
      </w:r>
    </w:p>
    <w:tbl>
      <w:tblPr>
        <w:tblStyle w:val="9"/>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6"/>
        <w:gridCol w:w="5960"/>
      </w:tblGrid>
      <w:tr w14:paraId="21BC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2806" w:type="dxa"/>
            <w:noWrap w:val="0"/>
            <w:vAlign w:val="center"/>
          </w:tcPr>
          <w:p w14:paraId="2AAE032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所属专业大类（代码）</w:t>
            </w:r>
          </w:p>
        </w:tc>
        <w:tc>
          <w:tcPr>
            <w:tcW w:w="5960" w:type="dxa"/>
            <w:noWrap w:val="0"/>
            <w:vAlign w:val="center"/>
          </w:tcPr>
          <w:p w14:paraId="5F190BE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装备制造大类（66）</w:t>
            </w:r>
          </w:p>
        </w:tc>
      </w:tr>
      <w:tr w14:paraId="0E72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2806" w:type="dxa"/>
            <w:noWrap w:val="0"/>
            <w:vAlign w:val="center"/>
          </w:tcPr>
          <w:p w14:paraId="314E107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所属专业类（代码）</w:t>
            </w:r>
          </w:p>
        </w:tc>
        <w:tc>
          <w:tcPr>
            <w:tcW w:w="5960" w:type="dxa"/>
            <w:noWrap w:val="0"/>
            <w:vAlign w:val="center"/>
          </w:tcPr>
          <w:p w14:paraId="395C850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自动化类（6603）</w:t>
            </w:r>
          </w:p>
        </w:tc>
      </w:tr>
      <w:tr w14:paraId="5BA2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2806" w:type="dxa"/>
            <w:noWrap w:val="0"/>
            <w:vAlign w:val="center"/>
          </w:tcPr>
          <w:p w14:paraId="3F7E450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对应行业（代码）</w:t>
            </w:r>
          </w:p>
        </w:tc>
        <w:tc>
          <w:tcPr>
            <w:tcW w:w="5960" w:type="dxa"/>
            <w:noWrap w:val="0"/>
            <w:vAlign w:val="center"/>
          </w:tcPr>
          <w:p w14:paraId="6F4010F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通用设备制造业（34）</w:t>
            </w:r>
            <w:r>
              <w:rPr>
                <w:rFonts w:hint="eastAsia" w:ascii="宋体" w:hAnsi="宋体" w:eastAsia="宋体" w:cs="宋体"/>
                <w:color w:val="000000"/>
                <w:sz w:val="21"/>
                <w:szCs w:val="21"/>
                <w:lang w:val="en-US" w:eastAsia="zh-CN" w:bidi="ar"/>
              </w:rPr>
              <w:t>、</w:t>
            </w:r>
            <w:r>
              <w:rPr>
                <w:rFonts w:hint="eastAsia" w:ascii="宋体" w:hAnsi="宋体" w:eastAsia="宋体" w:cs="宋体"/>
                <w:color w:val="000000"/>
                <w:sz w:val="21"/>
                <w:szCs w:val="21"/>
                <w:lang w:bidi="ar"/>
              </w:rPr>
              <w:t>金属制品、机械和设备修理业（43）</w:t>
            </w:r>
          </w:p>
        </w:tc>
      </w:tr>
      <w:tr w14:paraId="7D0A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2806" w:type="dxa"/>
            <w:noWrap w:val="0"/>
            <w:vAlign w:val="center"/>
          </w:tcPr>
          <w:p w14:paraId="4FB52B4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主要职业类别（代码）</w:t>
            </w:r>
          </w:p>
        </w:tc>
        <w:tc>
          <w:tcPr>
            <w:tcW w:w="5960" w:type="dxa"/>
            <w:noWrap w:val="0"/>
            <w:vAlign w:val="center"/>
          </w:tcPr>
          <w:p w14:paraId="2398018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lang w:bidi="ar"/>
              </w:rPr>
              <w:t>电工（6-31-01-03）、机修钳工（6-31-01-02）、机床装调维</w:t>
            </w:r>
          </w:p>
          <w:p w14:paraId="547D279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修工（6-20-03-01）、机电设备维修工（6-31-01-10）</w:t>
            </w:r>
          </w:p>
        </w:tc>
      </w:tr>
      <w:tr w14:paraId="2A9D3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2806" w:type="dxa"/>
            <w:noWrap w:val="0"/>
            <w:vAlign w:val="center"/>
          </w:tcPr>
          <w:p w14:paraId="1C23282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主要岗位（群）或技术领域</w:t>
            </w:r>
          </w:p>
        </w:tc>
        <w:tc>
          <w:tcPr>
            <w:tcW w:w="5960" w:type="dxa"/>
            <w:noWrap w:val="0"/>
            <w:vAlign w:val="center"/>
          </w:tcPr>
          <w:p w14:paraId="1C37ED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lang w:bidi="ar"/>
              </w:rPr>
              <w:t>机电设备及自动化生产线的安装、调试、运行、维护，机电</w:t>
            </w:r>
          </w:p>
          <w:p w14:paraId="04DB8D4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产品维修与检测，机电产品售后服务……</w:t>
            </w:r>
          </w:p>
        </w:tc>
      </w:tr>
      <w:tr w14:paraId="3AC3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2806" w:type="dxa"/>
            <w:noWrap w:val="0"/>
            <w:vAlign w:val="center"/>
          </w:tcPr>
          <w:p w14:paraId="6F632DE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职业类证书</w:t>
            </w:r>
          </w:p>
        </w:tc>
        <w:tc>
          <w:tcPr>
            <w:tcW w:w="5960" w:type="dxa"/>
            <w:noWrap w:val="0"/>
            <w:vAlign w:val="center"/>
          </w:tcPr>
          <w:p w14:paraId="0808CEA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lang w:bidi="ar"/>
              </w:rPr>
              <w:t>数控车铣加工、工业机器人集成应用、工业机器人操作与运</w:t>
            </w:r>
          </w:p>
          <w:p w14:paraId="589F18D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lang w:bidi="ar"/>
              </w:rPr>
              <w:t>维、机械产品三维模型设计、工业机器人应用编程、可编程</w:t>
            </w:r>
          </w:p>
          <w:p w14:paraId="48021B8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控制器系统应用编程、智能制造设备操作与维护……</w:t>
            </w:r>
          </w:p>
        </w:tc>
      </w:tr>
    </w:tbl>
    <w:p w14:paraId="506E29C5">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60" w:firstLineChars="150"/>
        <w:rPr>
          <w:rFonts w:hint="eastAsia" w:ascii="宋体" w:hAnsi="宋体" w:eastAsia="宋体" w:cs="宋体"/>
          <w:sz w:val="24"/>
          <w:szCs w:val="24"/>
        </w:rPr>
      </w:pPr>
    </w:p>
    <w:p w14:paraId="5D825BBA">
      <w:pPr>
        <w:pStyle w:val="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8" w:name="_Toc16404"/>
      <w:r>
        <w:rPr>
          <w:rFonts w:hint="eastAsia" w:ascii="宋体" w:hAnsi="宋体" w:eastAsia="宋体" w:cs="宋体"/>
          <w:b/>
          <w:sz w:val="24"/>
          <w:szCs w:val="24"/>
        </w:rPr>
        <w:t>五、培养目标与培养规格</w:t>
      </w:r>
      <w:bookmarkEnd w:id="8"/>
    </w:p>
    <w:p w14:paraId="5B1BDF67">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9" w:name="_Toc13123"/>
      <w:r>
        <w:rPr>
          <w:rFonts w:hint="eastAsia" w:ascii="宋体" w:hAnsi="宋体" w:eastAsia="宋体" w:cs="宋体"/>
          <w:b/>
          <w:sz w:val="24"/>
          <w:szCs w:val="24"/>
        </w:rPr>
        <w:t>（一）培养目标</w:t>
      </w:r>
      <w:bookmarkEnd w:id="9"/>
    </w:p>
    <w:p w14:paraId="070721C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720" w:firstLineChars="300"/>
        <w:rPr>
          <w:rFonts w:hint="eastAsia" w:ascii="宋体" w:hAnsi="宋体" w:eastAsia="宋体" w:cs="宋体"/>
          <w:sz w:val="24"/>
          <w:szCs w:val="24"/>
        </w:rPr>
      </w:pPr>
      <w:r>
        <w:rPr>
          <w:rFonts w:hint="eastAsia" w:ascii="宋体" w:hAnsi="宋体" w:eastAsia="宋体" w:cs="宋体"/>
          <w:color w:val="000000"/>
          <w:sz w:val="24"/>
          <w:szCs w:val="24"/>
          <w:lang w:bidi="ar"/>
        </w:rPr>
        <w:t>本专业</w:t>
      </w:r>
      <w:r>
        <w:rPr>
          <w:rFonts w:hint="eastAsia" w:ascii="宋体" w:hAnsi="宋体" w:eastAsia="宋体" w:cs="宋体"/>
          <w:color w:val="000000"/>
          <w:sz w:val="24"/>
          <w:szCs w:val="24"/>
          <w:lang w:eastAsia="zh-CN" w:bidi="ar"/>
        </w:rPr>
        <w:t>坚持落实立德树人为根本任务，</w:t>
      </w:r>
      <w:r>
        <w:rPr>
          <w:rFonts w:hint="eastAsia" w:ascii="宋体" w:hAnsi="宋体" w:eastAsia="宋体" w:cs="宋体"/>
          <w:color w:val="000000"/>
          <w:sz w:val="24"/>
          <w:szCs w:val="24"/>
          <w:lang w:bidi="ar"/>
        </w:rPr>
        <w:t>培养能够践行社会主义核心价值观，传承技能文明，德智体美劳全面发展，具有良好的人文素养、科学素养、数字素养、职业道德，爱岗敬业的职业精神和精益求精的工匠精神，扎实的文化基础知识、较强的就业创业能力和学习能力，掌握本专业知识和技术技能，具备职业综合素质和行动能力，面向通用设备制造行业，金属制品、机械和设备修理行业的电工、机修钳工、机床装调维修工、机电设备维修工等职业，能够从事机电设备及自动化生产线的安装、调试、运行、维护，机电产品维修与检测，机电产品售后服务等工作的技能人才。</w:t>
      </w:r>
    </w:p>
    <w:p w14:paraId="243BE4D9">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10" w:name="_Toc5475"/>
      <w:r>
        <w:rPr>
          <w:rFonts w:hint="eastAsia" w:ascii="宋体" w:hAnsi="宋体" w:eastAsia="宋体" w:cs="宋体"/>
          <w:b/>
          <w:sz w:val="24"/>
          <w:szCs w:val="24"/>
        </w:rPr>
        <w:t>（二）培养规格</w:t>
      </w:r>
      <w:bookmarkEnd w:id="10"/>
    </w:p>
    <w:p w14:paraId="6699C11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本专业学生应全面提升知识、能力、素质，筑牢科学文化知识和专业类通用技术技能基础，掌握并实际运用岗位（群）需要的专业技术技能，实现德智体美劳全面发展，总体上须达到以下要求： </w:t>
      </w:r>
    </w:p>
    <w:p w14:paraId="0692F60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（1）坚定拥护中国共产党领导和中国特色社会主义制度，以习近平新时代中国特色社会主义思想为指导，践行社会主义核心价值观，具有坚定的理想信念、深厚的爱国情感和中华民族自豪感； </w:t>
      </w:r>
    </w:p>
    <w:p w14:paraId="529E81E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2）掌握与本专业对应职业活动相关的国家法律、行业规定，掌握绿色生产、环境保护、安全防护、质量管理等相关知识与技能，了解相关行业文化，具有爱岗敬业的职业精神，遵守职业道德准则和行为规范，具备社会责任感和担当精神； </w:t>
      </w:r>
    </w:p>
    <w:p w14:paraId="3C0C8DC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（3）掌握支撑本专业学习和可持续发展必备的语文、历史、数学、英语、信息技术等文化基础知识，具有良好的人文素养与科学素养，具备职业生涯规划能力； </w:t>
      </w:r>
    </w:p>
    <w:p w14:paraId="63B1025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（4）具有良好的语言表达能力、文字表达能力、沟通合作能力，具有较强的集体意识和团队合作意识</w:t>
      </w:r>
      <w:r>
        <w:rPr>
          <w:rFonts w:hint="eastAsia" w:ascii="宋体" w:hAnsi="宋体" w:eastAsia="宋体" w:cs="宋体"/>
          <w:color w:val="000000"/>
          <w:kern w:val="0"/>
          <w:sz w:val="24"/>
          <w:szCs w:val="24"/>
          <w:lang w:bidi="ar"/>
        </w:rPr>
        <w:t>，学习 1 门外语并结合本专业加以运用</w:t>
      </w:r>
      <w:r>
        <w:rPr>
          <w:rFonts w:hint="eastAsia" w:ascii="宋体" w:hAnsi="宋体" w:eastAsia="宋体" w:cs="宋体"/>
          <w:color w:val="000000"/>
          <w:sz w:val="24"/>
          <w:szCs w:val="24"/>
          <w:lang w:bidi="ar"/>
        </w:rPr>
        <w:t xml:space="preserve">； </w:t>
      </w:r>
    </w:p>
    <w:p w14:paraId="6A6C6A9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（5）掌握机械制图、机械基础、电工基础、电子技术等方面的专业基础理论知识； </w:t>
      </w:r>
    </w:p>
    <w:p w14:paraId="7318A52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（6）掌握电机与变压器、低压电器与 PLC、气动与液压传动等方面的专业理论知识； </w:t>
      </w:r>
    </w:p>
    <w:p w14:paraId="7C55B66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（7）掌握机械拆装与调试技能，具有正确选择和使用各类常用工量具、仪器仪表的能力； </w:t>
      </w:r>
    </w:p>
    <w:p w14:paraId="5FC8720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（8）掌握电工、装配钳工、机床装调工、机电设备安装与调试等技术技能，具有机电设备安装调试、机床电气故障维修能力； </w:t>
      </w:r>
    </w:p>
    <w:p w14:paraId="4BF2379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（9）掌握自动化生产线安装、调试与运行维护技术技能，具有完成自动化生产线安装、调试、运行维护的能力； </w:t>
      </w:r>
    </w:p>
    <w:p w14:paraId="271BB8E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（10）掌握信息技术基础知识，具有适应本行业数字化和智能化发展需求的基本数字技能； </w:t>
      </w:r>
    </w:p>
    <w:p w14:paraId="06AF3A4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（11）具有终身学习和可持续发展的能力，具有一定的分析问题和解决问题的能力； </w:t>
      </w:r>
    </w:p>
    <w:p w14:paraId="4B46268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（12）掌握身体运动的基本知识和体育运动技能，养成良好的运动习惯、卫生习惯和行为习惯；具备一定的心理调适能力； </w:t>
      </w:r>
    </w:p>
    <w:p w14:paraId="2423BAE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（13）掌握必备的美育知识，具有一定的文化修养、审美能力； </w:t>
      </w:r>
    </w:p>
    <w:p w14:paraId="2C46C05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（14）树立正确的劳动观，尊重劳动，热爱劳动，具备与本专业职业发展相适应的劳动素养，弘扬劳模精神、劳动精神、工匠精神，弘扬劳动光荣、技能宝贵、创造伟大的时代风尚。</w:t>
      </w:r>
    </w:p>
    <w:p w14:paraId="3CA576B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118" w:firstLineChars="49"/>
        <w:rPr>
          <w:rFonts w:hint="eastAsia" w:ascii="宋体" w:hAnsi="宋体" w:eastAsia="宋体" w:cs="宋体"/>
          <w:b/>
          <w:sz w:val="24"/>
          <w:szCs w:val="24"/>
        </w:rPr>
      </w:pPr>
      <w:r>
        <w:rPr>
          <w:rFonts w:hint="eastAsia" w:ascii="宋体" w:hAnsi="宋体" w:eastAsia="宋体" w:cs="宋体"/>
          <w:b/>
          <w:sz w:val="24"/>
          <w:szCs w:val="24"/>
        </w:rPr>
        <w:t>（三）主要接续专业</w:t>
      </w:r>
    </w:p>
    <w:p w14:paraId="62C7FD4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60" w:firstLineChars="150"/>
        <w:rPr>
          <w:rFonts w:hint="eastAsia" w:ascii="宋体" w:hAnsi="宋体" w:eastAsia="宋体" w:cs="宋体"/>
          <w:sz w:val="24"/>
          <w:szCs w:val="24"/>
        </w:rPr>
      </w:pPr>
      <w:r>
        <w:rPr>
          <w:rFonts w:hint="eastAsia" w:ascii="宋体" w:hAnsi="宋体" w:eastAsia="宋体" w:cs="宋体"/>
          <w:sz w:val="24"/>
          <w:szCs w:val="24"/>
        </w:rPr>
        <w:t>接续高职专科专业：机电一体化技术、智能机电技术、工业机器人技术、电气自动化技术等</w:t>
      </w:r>
    </w:p>
    <w:p w14:paraId="4B8A66C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60" w:firstLineChars="150"/>
        <w:rPr>
          <w:rFonts w:hint="eastAsia" w:ascii="宋体" w:hAnsi="宋体" w:eastAsia="宋体" w:cs="宋体"/>
          <w:sz w:val="24"/>
          <w:szCs w:val="24"/>
        </w:rPr>
      </w:pPr>
      <w:r>
        <w:rPr>
          <w:rFonts w:hint="eastAsia" w:ascii="宋体" w:hAnsi="宋体" w:eastAsia="宋体" w:cs="宋体"/>
          <w:sz w:val="24"/>
          <w:szCs w:val="24"/>
        </w:rPr>
        <w:t>接续高职本科专业：机械电子工程技术、智能控制技术、机器人技术、电气自动化技术等</w:t>
      </w:r>
    </w:p>
    <w:p w14:paraId="113E524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60" w:firstLineChars="150"/>
        <w:rPr>
          <w:rFonts w:hint="eastAsia" w:ascii="宋体" w:hAnsi="宋体" w:eastAsia="宋体" w:cs="宋体"/>
          <w:b/>
          <w:color w:val="000000"/>
          <w:sz w:val="24"/>
          <w:szCs w:val="24"/>
        </w:rPr>
      </w:pPr>
      <w:r>
        <w:rPr>
          <w:rFonts w:hint="eastAsia" w:ascii="宋体" w:hAnsi="宋体" w:eastAsia="宋体" w:cs="宋体"/>
          <w:sz w:val="24"/>
          <w:szCs w:val="24"/>
        </w:rPr>
        <w:t>接续普通本科专业：机械电子工程、机电技术教育、电气工程及其自动化、自动化等</w:t>
      </w:r>
    </w:p>
    <w:p w14:paraId="3B86B453">
      <w:pPr>
        <w:pStyle w:val="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11" w:name="_TOC_250004"/>
      <w:bookmarkEnd w:id="11"/>
      <w:bookmarkStart w:id="12" w:name="_Toc31663"/>
      <w:r>
        <w:rPr>
          <w:rFonts w:hint="eastAsia" w:ascii="宋体" w:hAnsi="宋体" w:eastAsia="宋体" w:cs="宋体"/>
          <w:b/>
          <w:sz w:val="24"/>
          <w:szCs w:val="24"/>
        </w:rPr>
        <w:t>六、课程设置及学时要求</w:t>
      </w:r>
      <w:bookmarkEnd w:id="12"/>
    </w:p>
    <w:p w14:paraId="4EEFD8F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本专业的课程主要分为公共基础课程和专业课程两类。</w:t>
      </w:r>
    </w:p>
    <w:p w14:paraId="6304B23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公共基础课必修课包括思想政治、语文、历史、数学、英语、计算机应用基础、体育与健康、物理、化学、艺术、劳动教育；公共基础课选修课包括职业素养、中华优秀传统文化。</w:t>
      </w:r>
    </w:p>
    <w:p w14:paraId="670E13F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专业课程包括专业基础课程、专业核心课程和专业拓展课程：</w:t>
      </w:r>
    </w:p>
    <w:p w14:paraId="65E34CC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专业基础课程主要包括机械制图、机械基础、极限配合与测量技术、金属工艺学、电工电子技术基础、AutoCAD计算机辅助设计等；</w:t>
      </w:r>
    </w:p>
    <w:p w14:paraId="5287C79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专业核心课程主要包括液压与气压传动、传感器及其应用、</w:t>
      </w:r>
      <w:r>
        <w:rPr>
          <w:rFonts w:hint="eastAsia" w:ascii="宋体" w:hAnsi="宋体" w:eastAsia="宋体" w:cs="宋体"/>
          <w:spacing w:val="-1"/>
          <w:sz w:val="24"/>
          <w:szCs w:val="24"/>
        </w:rPr>
        <w:t>电机与变</w:t>
      </w:r>
      <w:r>
        <w:rPr>
          <w:rFonts w:hint="eastAsia" w:ascii="宋体" w:hAnsi="宋体" w:eastAsia="宋体" w:cs="宋体"/>
          <w:sz w:val="24"/>
          <w:szCs w:val="24"/>
        </w:rPr>
        <w:t>压器、PLC编程及应用、机电设备安装与调试、自动化设备及生产线调试与维护等相关课程。</w:t>
      </w:r>
    </w:p>
    <w:p w14:paraId="3BDE771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lang w:bidi="ar"/>
        </w:rPr>
        <w:t>专业拓展课程主要包括：</w:t>
      </w:r>
      <w:r>
        <w:rPr>
          <w:rFonts w:hint="eastAsia" w:ascii="宋体" w:hAnsi="宋体" w:eastAsia="宋体" w:cs="宋体"/>
          <w:sz w:val="24"/>
          <w:szCs w:val="24"/>
        </w:rPr>
        <w:t>机床电气线路安装与维修、</w:t>
      </w:r>
      <w:r>
        <w:rPr>
          <w:rFonts w:hint="eastAsia" w:ascii="宋体" w:hAnsi="宋体" w:eastAsia="宋体" w:cs="宋体"/>
          <w:sz w:val="24"/>
          <w:szCs w:val="24"/>
          <w:lang w:bidi="ar"/>
        </w:rPr>
        <w:t>工业机器人操作与运维、数控加工与编程、智能制造技术基础、机电产品营销、机电设备管理、单片机控制技术应用、应用文写作、信息检索等领域的内容。</w:t>
      </w:r>
    </w:p>
    <w:p w14:paraId="6037F75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sz w:val="24"/>
          <w:szCs w:val="24"/>
        </w:rPr>
        <w:t>专业课设置紧密联系生产劳动实际和社会实践，突出应用性和实践性，注重学生职业能力和职业精神的培养，依据专业建设设置专业课程，实现校企深度融合。专业实习采用工学交替进行，分段进行，含认知实习、顶岗实习等多种形式，实现专业课程与职业岗位对接与融合。结合实习实训强化劳动教育，明确劳动教育时间，弘扬劳动精神、劳模精神，教育引导学生崇尚劳动、尊重劳动。同时组织开展劳动实践、志愿服务及其他社会公益活动。</w:t>
      </w:r>
    </w:p>
    <w:p w14:paraId="10569DF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实习实训是专业技能课教学的重要内容，含校内教学实习、企业教学实践、顶岗实习等多种形式。</w:t>
      </w:r>
    </w:p>
    <w:p w14:paraId="1537BCE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13" w:name="_Toc9144"/>
      <w:r>
        <w:rPr>
          <w:rFonts w:hint="eastAsia" w:ascii="宋体" w:hAnsi="宋体" w:eastAsia="宋体" w:cs="宋体"/>
          <w:b/>
          <w:sz w:val="24"/>
          <w:szCs w:val="24"/>
        </w:rPr>
        <w:t>（一）公共基础课程</w:t>
      </w:r>
      <w:bookmarkEnd w:id="13"/>
    </w:p>
    <w:p w14:paraId="16CB466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1.公共基础必修课</w:t>
      </w:r>
    </w:p>
    <w:tbl>
      <w:tblPr>
        <w:tblStyle w:val="9"/>
        <w:tblW w:w="9620" w:type="dxa"/>
        <w:jc w:val="center"/>
        <w:tblLayout w:type="fixed"/>
        <w:tblCellMar>
          <w:top w:w="0" w:type="dxa"/>
          <w:left w:w="108" w:type="dxa"/>
          <w:bottom w:w="0" w:type="dxa"/>
          <w:right w:w="108" w:type="dxa"/>
        </w:tblCellMar>
      </w:tblPr>
      <w:tblGrid>
        <w:gridCol w:w="618"/>
        <w:gridCol w:w="1800"/>
        <w:gridCol w:w="6393"/>
        <w:gridCol w:w="809"/>
      </w:tblGrid>
      <w:tr w14:paraId="709122CC">
        <w:tblPrEx>
          <w:tblCellMar>
            <w:top w:w="0" w:type="dxa"/>
            <w:left w:w="108" w:type="dxa"/>
            <w:bottom w:w="0" w:type="dxa"/>
            <w:right w:w="108" w:type="dxa"/>
          </w:tblCellMar>
        </w:tblPrEx>
        <w:trPr>
          <w:trHeight w:val="90"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444509A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00" w:type="dxa"/>
            <w:tcBorders>
              <w:top w:val="single" w:color="auto" w:sz="4" w:space="0"/>
              <w:left w:val="nil"/>
              <w:bottom w:val="single" w:color="auto" w:sz="4" w:space="0"/>
              <w:right w:val="single" w:color="auto" w:sz="4" w:space="0"/>
            </w:tcBorders>
            <w:noWrap w:val="0"/>
            <w:vAlign w:val="center"/>
          </w:tcPr>
          <w:p w14:paraId="634E2AC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6393" w:type="dxa"/>
            <w:tcBorders>
              <w:top w:val="single" w:color="auto" w:sz="4" w:space="0"/>
              <w:left w:val="nil"/>
              <w:bottom w:val="single" w:color="auto" w:sz="4" w:space="0"/>
              <w:right w:val="single" w:color="auto" w:sz="4" w:space="0"/>
            </w:tcBorders>
            <w:noWrap w:val="0"/>
            <w:vAlign w:val="center"/>
          </w:tcPr>
          <w:p w14:paraId="3D10C0D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809" w:type="dxa"/>
            <w:tcBorders>
              <w:top w:val="single" w:color="auto" w:sz="4" w:space="0"/>
              <w:left w:val="nil"/>
              <w:bottom w:val="single" w:color="auto" w:sz="4" w:space="0"/>
              <w:right w:val="single" w:color="auto" w:sz="4" w:space="0"/>
            </w:tcBorders>
            <w:noWrap w:val="0"/>
            <w:vAlign w:val="center"/>
          </w:tcPr>
          <w:p w14:paraId="7B4C71C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基本</w:t>
            </w:r>
          </w:p>
          <w:p w14:paraId="3345DC6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学时</w:t>
            </w:r>
          </w:p>
        </w:tc>
      </w:tr>
      <w:tr w14:paraId="26CFBF56">
        <w:tblPrEx>
          <w:tblCellMar>
            <w:top w:w="0" w:type="dxa"/>
            <w:left w:w="108" w:type="dxa"/>
            <w:bottom w:w="0" w:type="dxa"/>
            <w:right w:w="108" w:type="dxa"/>
          </w:tblCellMar>
        </w:tblPrEx>
        <w:trPr>
          <w:trHeight w:val="358" w:hRule="atLeast"/>
          <w:jc w:val="center"/>
        </w:trPr>
        <w:tc>
          <w:tcPr>
            <w:tcW w:w="618" w:type="dxa"/>
            <w:vMerge w:val="restart"/>
            <w:tcBorders>
              <w:top w:val="nil"/>
              <w:left w:val="single" w:color="auto" w:sz="4" w:space="0"/>
              <w:bottom w:val="single" w:color="auto" w:sz="4" w:space="0"/>
              <w:right w:val="single" w:color="auto" w:sz="4" w:space="0"/>
            </w:tcBorders>
            <w:noWrap w:val="0"/>
            <w:vAlign w:val="center"/>
          </w:tcPr>
          <w:p w14:paraId="2074D6F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800" w:type="dxa"/>
            <w:tcBorders>
              <w:top w:val="nil"/>
              <w:left w:val="nil"/>
              <w:bottom w:val="single" w:color="auto" w:sz="4" w:space="0"/>
              <w:right w:val="single" w:color="auto" w:sz="4" w:space="0"/>
            </w:tcBorders>
            <w:noWrap w:val="0"/>
            <w:vAlign w:val="center"/>
          </w:tcPr>
          <w:p w14:paraId="62CFD9A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中国特色社会主义思想</w:t>
            </w:r>
          </w:p>
        </w:tc>
        <w:tc>
          <w:tcPr>
            <w:tcW w:w="6393" w:type="dxa"/>
            <w:tcBorders>
              <w:top w:val="nil"/>
              <w:left w:val="nil"/>
              <w:bottom w:val="single" w:color="auto" w:sz="4" w:space="0"/>
              <w:right w:val="single" w:color="auto" w:sz="4" w:space="0"/>
            </w:tcBorders>
            <w:noWrap w:val="0"/>
            <w:vAlign w:val="center"/>
          </w:tcPr>
          <w:p w14:paraId="3C9977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pacing w:val="-2"/>
                <w:sz w:val="21"/>
                <w:szCs w:val="21"/>
              </w:rPr>
            </w:pPr>
            <w:r>
              <w:rPr>
                <w:rFonts w:hint="eastAsia" w:ascii="宋体" w:hAnsi="宋体" w:eastAsia="宋体" w:cs="宋体"/>
                <w:color w:val="000000"/>
                <w:sz w:val="21"/>
                <w:szCs w:val="21"/>
                <w:lang w:bidi="ar"/>
              </w:rPr>
              <w:t>依据《中等职业学校思想政治课程标准（2020 年版）》开设，培育学生的思想政治学科核心素养。以习近平新时代中国特色社会主义思想为指导，阐释中国特色社会主义的开创与发展，明确中国特色社会主义进入新时代的历史方位，阐明中国特色社会主义建设“五位一体”总体布局 的基本内容，引导学生树立对马克思主义的信仰、对中国 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809" w:type="dxa"/>
            <w:tcBorders>
              <w:top w:val="nil"/>
              <w:left w:val="nil"/>
              <w:bottom w:val="single" w:color="auto" w:sz="4" w:space="0"/>
              <w:right w:val="single" w:color="auto" w:sz="4" w:space="0"/>
            </w:tcBorders>
            <w:noWrap w:val="0"/>
            <w:vAlign w:val="center"/>
          </w:tcPr>
          <w:p w14:paraId="1BDF272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FF0000"/>
                <w:sz w:val="21"/>
                <w:szCs w:val="21"/>
              </w:rPr>
            </w:pPr>
            <w:r>
              <w:rPr>
                <w:rFonts w:hint="eastAsia" w:ascii="宋体" w:hAnsi="宋体" w:eastAsia="宋体" w:cs="宋体"/>
                <w:spacing w:val="-3"/>
                <w:sz w:val="21"/>
                <w:szCs w:val="21"/>
              </w:rPr>
              <w:t>40</w:t>
            </w:r>
          </w:p>
        </w:tc>
      </w:tr>
      <w:tr w14:paraId="511CD3FA">
        <w:tblPrEx>
          <w:tblCellMar>
            <w:top w:w="0" w:type="dxa"/>
            <w:left w:w="108" w:type="dxa"/>
            <w:bottom w:w="0" w:type="dxa"/>
            <w:right w:w="108" w:type="dxa"/>
          </w:tblCellMar>
        </w:tblPrEx>
        <w:trPr>
          <w:trHeight w:val="358" w:hRule="atLeast"/>
          <w:jc w:val="center"/>
        </w:trPr>
        <w:tc>
          <w:tcPr>
            <w:tcW w:w="618" w:type="dxa"/>
            <w:vMerge w:val="continue"/>
            <w:tcBorders>
              <w:left w:val="single" w:color="auto" w:sz="4" w:space="0"/>
              <w:right w:val="single" w:color="auto" w:sz="4" w:space="0"/>
            </w:tcBorders>
            <w:noWrap w:val="0"/>
            <w:vAlign w:val="center"/>
          </w:tcPr>
          <w:p w14:paraId="5635248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1800" w:type="dxa"/>
            <w:tcBorders>
              <w:top w:val="nil"/>
              <w:left w:val="nil"/>
              <w:bottom w:val="single" w:color="auto" w:sz="4" w:space="0"/>
              <w:right w:val="single" w:color="auto" w:sz="4" w:space="0"/>
            </w:tcBorders>
            <w:noWrap w:val="0"/>
            <w:vAlign w:val="center"/>
          </w:tcPr>
          <w:p w14:paraId="7943916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6393" w:type="dxa"/>
            <w:tcBorders>
              <w:top w:val="nil"/>
              <w:left w:val="nil"/>
              <w:bottom w:val="single" w:color="auto" w:sz="4" w:space="0"/>
              <w:right w:val="single" w:color="auto" w:sz="4" w:space="0"/>
            </w:tcBorders>
            <w:noWrap w:val="0"/>
            <w:vAlign w:val="center"/>
          </w:tcPr>
          <w:p w14:paraId="329A5A5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依据《中等职业学校思想政治课程标准（2020年版）》开设，培育学生的思想政治学科核心素养。基于社会发展 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809" w:type="dxa"/>
            <w:tcBorders>
              <w:top w:val="nil"/>
              <w:left w:val="nil"/>
              <w:bottom w:val="single" w:color="auto" w:sz="4" w:space="0"/>
              <w:right w:val="single" w:color="auto" w:sz="4" w:space="0"/>
            </w:tcBorders>
            <w:noWrap w:val="0"/>
            <w:vAlign w:val="center"/>
          </w:tcPr>
          <w:p w14:paraId="762DAA9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p w14:paraId="1FD97AC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23B6AC59">
        <w:tblPrEx>
          <w:tblCellMar>
            <w:top w:w="0" w:type="dxa"/>
            <w:left w:w="108" w:type="dxa"/>
            <w:bottom w:w="0" w:type="dxa"/>
            <w:right w:w="108" w:type="dxa"/>
          </w:tblCellMar>
        </w:tblPrEx>
        <w:trPr>
          <w:trHeight w:val="358" w:hRule="atLeast"/>
          <w:jc w:val="center"/>
        </w:trPr>
        <w:tc>
          <w:tcPr>
            <w:tcW w:w="618" w:type="dxa"/>
            <w:vMerge w:val="continue"/>
            <w:tcBorders>
              <w:left w:val="single" w:color="auto" w:sz="4" w:space="0"/>
              <w:right w:val="single" w:color="auto" w:sz="4" w:space="0"/>
            </w:tcBorders>
            <w:noWrap w:val="0"/>
            <w:vAlign w:val="center"/>
          </w:tcPr>
          <w:p w14:paraId="1B113DE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tc>
        <w:tc>
          <w:tcPr>
            <w:tcW w:w="1800" w:type="dxa"/>
            <w:tcBorders>
              <w:top w:val="nil"/>
              <w:left w:val="nil"/>
              <w:bottom w:val="single" w:color="auto" w:sz="4" w:space="0"/>
              <w:right w:val="single" w:color="auto" w:sz="4" w:space="0"/>
            </w:tcBorders>
            <w:noWrap w:val="0"/>
            <w:vAlign w:val="center"/>
          </w:tcPr>
          <w:p w14:paraId="44A0CB4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哲学与人生</w:t>
            </w:r>
          </w:p>
        </w:tc>
        <w:tc>
          <w:tcPr>
            <w:tcW w:w="6393" w:type="dxa"/>
            <w:tcBorders>
              <w:top w:val="nil"/>
              <w:left w:val="nil"/>
              <w:bottom w:val="single" w:color="auto" w:sz="4" w:space="0"/>
              <w:right w:val="single" w:color="auto" w:sz="4" w:space="0"/>
            </w:tcBorders>
            <w:noWrap w:val="0"/>
            <w:vAlign w:val="center"/>
          </w:tcPr>
          <w:p w14:paraId="142FF2C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依据《中等职业学校思想政治课程标准（2020年版）》开设，培育学生的思想政治学科核心素养。阐明马克思主 义哲学是科学的世界观和方法论，讲述辩证唯物主义和历 史唯物主义基本观点及其对人生成长的意义；阐述社会生活及个人成长中进行正确价值判断和行为选择的意义；引导学生弘扬和践行社会主义核心价值观，为学生成长奠定 正确的世界观、人生观和价值观基础。</w:t>
            </w:r>
          </w:p>
        </w:tc>
        <w:tc>
          <w:tcPr>
            <w:tcW w:w="809" w:type="dxa"/>
            <w:tcBorders>
              <w:top w:val="nil"/>
              <w:left w:val="nil"/>
              <w:bottom w:val="single" w:color="auto" w:sz="4" w:space="0"/>
              <w:right w:val="single" w:color="auto" w:sz="4" w:space="0"/>
            </w:tcBorders>
            <w:noWrap w:val="0"/>
            <w:vAlign w:val="center"/>
          </w:tcPr>
          <w:p w14:paraId="054BFFF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357A3E67">
        <w:tblPrEx>
          <w:tblCellMar>
            <w:top w:w="0" w:type="dxa"/>
            <w:left w:w="108" w:type="dxa"/>
            <w:bottom w:w="0" w:type="dxa"/>
            <w:right w:w="108" w:type="dxa"/>
          </w:tblCellMar>
        </w:tblPrEx>
        <w:trPr>
          <w:trHeight w:val="347" w:hRule="atLeast"/>
          <w:jc w:val="center"/>
        </w:trPr>
        <w:tc>
          <w:tcPr>
            <w:tcW w:w="618" w:type="dxa"/>
            <w:vMerge w:val="continue"/>
            <w:tcBorders>
              <w:top w:val="nil"/>
              <w:left w:val="single" w:color="auto" w:sz="4" w:space="0"/>
              <w:bottom w:val="single" w:color="auto" w:sz="4" w:space="0"/>
              <w:right w:val="single" w:color="auto" w:sz="4" w:space="0"/>
            </w:tcBorders>
            <w:noWrap w:val="0"/>
            <w:vAlign w:val="center"/>
          </w:tcPr>
          <w:p w14:paraId="1791B4D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p>
        </w:tc>
        <w:tc>
          <w:tcPr>
            <w:tcW w:w="1800" w:type="dxa"/>
            <w:tcBorders>
              <w:top w:val="nil"/>
              <w:left w:val="nil"/>
              <w:bottom w:val="single" w:color="auto" w:sz="4" w:space="0"/>
              <w:right w:val="single" w:color="auto" w:sz="4" w:space="0"/>
            </w:tcBorders>
            <w:noWrap w:val="0"/>
            <w:vAlign w:val="center"/>
          </w:tcPr>
          <w:p w14:paraId="5051A0A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职业道德与法治</w:t>
            </w:r>
          </w:p>
        </w:tc>
        <w:tc>
          <w:tcPr>
            <w:tcW w:w="6393" w:type="dxa"/>
            <w:tcBorders>
              <w:top w:val="single" w:color="auto" w:sz="4" w:space="0"/>
              <w:left w:val="nil"/>
              <w:bottom w:val="single" w:color="auto" w:sz="4" w:space="0"/>
              <w:right w:val="single" w:color="auto" w:sz="4" w:space="0"/>
            </w:tcBorders>
            <w:noWrap w:val="0"/>
            <w:vAlign w:val="top"/>
          </w:tcPr>
          <w:p w14:paraId="1DACE88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思想政治课程标准（2020年版）》开设，培育学生的思想政治学科核心素养。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809" w:type="dxa"/>
            <w:tcBorders>
              <w:top w:val="single" w:color="auto" w:sz="4" w:space="0"/>
              <w:left w:val="nil"/>
              <w:bottom w:val="single" w:color="auto" w:sz="4" w:space="0"/>
              <w:right w:val="single" w:color="auto" w:sz="4" w:space="0"/>
            </w:tcBorders>
            <w:noWrap w:val="0"/>
            <w:vAlign w:val="top"/>
          </w:tcPr>
          <w:p w14:paraId="646B27C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p>
          <w:p w14:paraId="577D352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pacing w:val="-3"/>
                <w:sz w:val="21"/>
                <w:szCs w:val="21"/>
              </w:rPr>
            </w:pPr>
          </w:p>
          <w:p w14:paraId="3FC8485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3"/>
                <w:sz w:val="21"/>
                <w:szCs w:val="21"/>
              </w:rPr>
              <w:t>40</w:t>
            </w:r>
          </w:p>
        </w:tc>
      </w:tr>
      <w:tr w14:paraId="72BC3DF2">
        <w:tblPrEx>
          <w:tblCellMar>
            <w:top w:w="0" w:type="dxa"/>
            <w:left w:w="108" w:type="dxa"/>
            <w:bottom w:w="0" w:type="dxa"/>
            <w:right w:w="108" w:type="dxa"/>
          </w:tblCellMar>
        </w:tblPrEx>
        <w:trPr>
          <w:trHeight w:val="722" w:hRule="atLeast"/>
          <w:jc w:val="center"/>
        </w:trPr>
        <w:tc>
          <w:tcPr>
            <w:tcW w:w="618" w:type="dxa"/>
            <w:tcBorders>
              <w:top w:val="nil"/>
              <w:left w:val="single" w:color="auto" w:sz="4" w:space="0"/>
              <w:bottom w:val="single" w:color="auto" w:sz="4" w:space="0"/>
              <w:right w:val="single" w:color="auto" w:sz="4" w:space="0"/>
            </w:tcBorders>
            <w:noWrap w:val="0"/>
            <w:vAlign w:val="center"/>
          </w:tcPr>
          <w:p w14:paraId="6EDD379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800" w:type="dxa"/>
            <w:tcBorders>
              <w:top w:val="nil"/>
              <w:left w:val="nil"/>
              <w:bottom w:val="single" w:color="auto" w:sz="4" w:space="0"/>
              <w:right w:val="single" w:color="auto" w:sz="4" w:space="0"/>
            </w:tcBorders>
            <w:noWrap w:val="0"/>
            <w:vAlign w:val="center"/>
          </w:tcPr>
          <w:p w14:paraId="1C618BF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语文</w:t>
            </w:r>
          </w:p>
        </w:tc>
        <w:tc>
          <w:tcPr>
            <w:tcW w:w="6393" w:type="dxa"/>
            <w:tcBorders>
              <w:top w:val="nil"/>
              <w:left w:val="nil"/>
              <w:bottom w:val="single" w:color="auto" w:sz="4" w:space="0"/>
              <w:right w:val="single" w:color="auto" w:sz="4" w:space="0"/>
            </w:tcBorders>
            <w:noWrap w:val="0"/>
            <w:vAlign w:val="center"/>
          </w:tcPr>
          <w:p w14:paraId="7A3540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 xml:space="preserve">依据《中等职业学校语文教学课程标准（2020年版）》开设，培养学生掌握基础知识和基本技能，强化关键能力，使学生具有较强的语言文字运用能力、思维能力、审美能力，传承和弘扬中华优 </w:t>
            </w:r>
          </w:p>
          <w:p w14:paraId="72A002E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color w:val="000000"/>
                <w:sz w:val="21"/>
                <w:szCs w:val="21"/>
                <w:lang w:bidi="ar"/>
              </w:rPr>
              <w:t xml:space="preserve">秀文化，形成良好的思想道德品质、科学素养和人文素养，为学生 </w:t>
            </w:r>
          </w:p>
          <w:p w14:paraId="6603AF6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color w:val="000000"/>
                <w:sz w:val="21"/>
                <w:szCs w:val="21"/>
                <w:lang w:bidi="ar"/>
              </w:rPr>
              <w:t>学好专业知识和技能，提高就业创业能力和终身发展能力，成为全面的高素质劳动者和技术技能人才奠定基础。</w:t>
            </w:r>
          </w:p>
        </w:tc>
        <w:tc>
          <w:tcPr>
            <w:tcW w:w="809" w:type="dxa"/>
            <w:tcBorders>
              <w:top w:val="nil"/>
              <w:left w:val="nil"/>
              <w:bottom w:val="single" w:color="auto" w:sz="4" w:space="0"/>
              <w:right w:val="single" w:color="auto" w:sz="4" w:space="0"/>
            </w:tcBorders>
            <w:noWrap w:val="0"/>
            <w:vAlign w:val="center"/>
          </w:tcPr>
          <w:p w14:paraId="2BC2C5F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200</w:t>
            </w:r>
          </w:p>
        </w:tc>
      </w:tr>
      <w:tr w14:paraId="1F01EE0E">
        <w:tblPrEx>
          <w:tblCellMar>
            <w:top w:w="0" w:type="dxa"/>
            <w:left w:w="108" w:type="dxa"/>
            <w:bottom w:w="0" w:type="dxa"/>
            <w:right w:w="108" w:type="dxa"/>
          </w:tblCellMar>
        </w:tblPrEx>
        <w:trPr>
          <w:trHeight w:val="832" w:hRule="atLeast"/>
          <w:jc w:val="center"/>
        </w:trPr>
        <w:tc>
          <w:tcPr>
            <w:tcW w:w="618" w:type="dxa"/>
            <w:tcBorders>
              <w:top w:val="nil"/>
              <w:left w:val="single" w:color="auto" w:sz="4" w:space="0"/>
              <w:bottom w:val="single" w:color="auto" w:sz="4" w:space="0"/>
              <w:right w:val="single" w:color="auto" w:sz="4" w:space="0"/>
            </w:tcBorders>
            <w:noWrap w:val="0"/>
            <w:vAlign w:val="center"/>
          </w:tcPr>
          <w:p w14:paraId="0675538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800" w:type="dxa"/>
            <w:tcBorders>
              <w:top w:val="nil"/>
              <w:left w:val="nil"/>
              <w:bottom w:val="single" w:color="auto" w:sz="4" w:space="0"/>
              <w:right w:val="single" w:color="auto" w:sz="4" w:space="0"/>
            </w:tcBorders>
            <w:noWrap w:val="0"/>
            <w:vAlign w:val="center"/>
          </w:tcPr>
          <w:p w14:paraId="6FEDC5C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数学</w:t>
            </w:r>
          </w:p>
        </w:tc>
        <w:tc>
          <w:tcPr>
            <w:tcW w:w="6393" w:type="dxa"/>
            <w:tcBorders>
              <w:top w:val="nil"/>
              <w:left w:val="nil"/>
              <w:bottom w:val="single" w:color="auto" w:sz="4" w:space="0"/>
              <w:right w:val="single" w:color="auto" w:sz="4" w:space="0"/>
            </w:tcBorders>
            <w:noWrap w:val="0"/>
            <w:vAlign w:val="center"/>
          </w:tcPr>
          <w:p w14:paraId="34E4BF4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 xml:space="preserve">依据《中等职业学校数学课程标准（2020 年版）》开设，全面贯彻党的教育方针，落实立德树人根本任务。在学习数学知识和数学能力培养的过程中，使学生逐步提高数学运算、直观想象、逻 </w:t>
            </w:r>
          </w:p>
          <w:p w14:paraId="3DA4B5F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color w:val="000000"/>
                <w:sz w:val="21"/>
                <w:szCs w:val="21"/>
                <w:lang w:bidi="ar"/>
              </w:rPr>
              <w:t>辑推理、数学抽象、数据分析和数学建模等数学学科核心素养，提高学生学习数学的兴趣，增强学好数学的主动性和自信心，形成在继续学习和未来工作中运用数学知识和经验发现问题的意识、运用数学的思想方法和工具解决问题的能力；养成理性思维、敢于质疑、善于思考的科学精神和精益求精的工匠精神，加深对数学的科学价值、应用价值、文化价值和审美价值的认识。</w:t>
            </w:r>
          </w:p>
        </w:tc>
        <w:tc>
          <w:tcPr>
            <w:tcW w:w="809" w:type="dxa"/>
            <w:tcBorders>
              <w:top w:val="nil"/>
              <w:left w:val="nil"/>
              <w:bottom w:val="single" w:color="auto" w:sz="4" w:space="0"/>
              <w:right w:val="single" w:color="auto" w:sz="4" w:space="0"/>
            </w:tcBorders>
            <w:noWrap w:val="0"/>
            <w:vAlign w:val="center"/>
          </w:tcPr>
          <w:p w14:paraId="7F651B3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13006DCB">
        <w:tblPrEx>
          <w:tblCellMar>
            <w:top w:w="0" w:type="dxa"/>
            <w:left w:w="108" w:type="dxa"/>
            <w:bottom w:w="0" w:type="dxa"/>
            <w:right w:w="108" w:type="dxa"/>
          </w:tblCellMar>
        </w:tblPrEx>
        <w:trPr>
          <w:trHeight w:val="844" w:hRule="atLeast"/>
          <w:jc w:val="center"/>
        </w:trPr>
        <w:tc>
          <w:tcPr>
            <w:tcW w:w="618" w:type="dxa"/>
            <w:tcBorders>
              <w:top w:val="nil"/>
              <w:left w:val="single" w:color="auto" w:sz="4" w:space="0"/>
              <w:bottom w:val="single" w:color="auto" w:sz="4" w:space="0"/>
              <w:right w:val="single" w:color="auto" w:sz="4" w:space="0"/>
            </w:tcBorders>
            <w:noWrap w:val="0"/>
            <w:vAlign w:val="center"/>
          </w:tcPr>
          <w:p w14:paraId="516FF2E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1800" w:type="dxa"/>
            <w:tcBorders>
              <w:top w:val="nil"/>
              <w:left w:val="nil"/>
              <w:bottom w:val="single" w:color="auto" w:sz="4" w:space="0"/>
              <w:right w:val="single" w:color="auto" w:sz="4" w:space="0"/>
            </w:tcBorders>
            <w:noWrap w:val="0"/>
            <w:vAlign w:val="center"/>
          </w:tcPr>
          <w:p w14:paraId="1D88E26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英语</w:t>
            </w:r>
          </w:p>
        </w:tc>
        <w:tc>
          <w:tcPr>
            <w:tcW w:w="6393" w:type="dxa"/>
            <w:tcBorders>
              <w:top w:val="nil"/>
              <w:left w:val="nil"/>
              <w:bottom w:val="single" w:color="auto" w:sz="4" w:space="0"/>
              <w:right w:val="single" w:color="auto" w:sz="4" w:space="0"/>
            </w:tcBorders>
            <w:noWrap w:val="0"/>
            <w:vAlign w:val="center"/>
          </w:tcPr>
          <w:p w14:paraId="59C7D00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依据《中等职业学校英语课程标准（2020 年版）》开设，明确新课标赋予教师教育教学方向上的新任务，即立德树人，发展英语学科核心素养，保证学业质量，突出英 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自信心，养成良好的学习习惯，提高自主学习能力。</w:t>
            </w:r>
          </w:p>
        </w:tc>
        <w:tc>
          <w:tcPr>
            <w:tcW w:w="809" w:type="dxa"/>
            <w:tcBorders>
              <w:top w:val="nil"/>
              <w:left w:val="nil"/>
              <w:bottom w:val="single" w:color="auto" w:sz="4" w:space="0"/>
              <w:right w:val="single" w:color="auto" w:sz="4" w:space="0"/>
            </w:tcBorders>
            <w:noWrap w:val="0"/>
            <w:vAlign w:val="center"/>
          </w:tcPr>
          <w:p w14:paraId="6E35116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160</w:t>
            </w:r>
          </w:p>
        </w:tc>
      </w:tr>
      <w:tr w14:paraId="741D1D62">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3E747D0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1800" w:type="dxa"/>
            <w:tcBorders>
              <w:top w:val="nil"/>
              <w:left w:val="nil"/>
              <w:bottom w:val="single" w:color="auto" w:sz="4" w:space="0"/>
              <w:right w:val="single" w:color="auto" w:sz="4" w:space="0"/>
            </w:tcBorders>
            <w:noWrap w:val="0"/>
            <w:vAlign w:val="center"/>
          </w:tcPr>
          <w:p w14:paraId="0517856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计算机应用基础</w:t>
            </w:r>
          </w:p>
        </w:tc>
        <w:tc>
          <w:tcPr>
            <w:tcW w:w="6393" w:type="dxa"/>
            <w:tcBorders>
              <w:top w:val="nil"/>
              <w:left w:val="nil"/>
              <w:bottom w:val="single" w:color="auto" w:sz="4" w:space="0"/>
              <w:right w:val="single" w:color="auto" w:sz="4" w:space="0"/>
            </w:tcBorders>
            <w:noWrap w:val="0"/>
            <w:vAlign w:val="center"/>
          </w:tcPr>
          <w:p w14:paraId="7533234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依据《中等职业学校学业水平考试计算机应用基础考试大纲》开设，通过学习计算机的应用基础知识，使学生掌握计算机操作</w:t>
            </w:r>
          </w:p>
          <w:p w14:paraId="5C308BF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color w:val="000000"/>
                <w:sz w:val="21"/>
                <w:szCs w:val="21"/>
                <w:lang w:bidi="ar"/>
              </w:rPr>
              <w:t>的基本技能、办公软件应用、因特网应用、编程基础、多媒体软件应用、人工智能以及利用计算机技术获取信息、处理信息、分析信息、发布信息等；具有文字录入编辑排版能力，数据处理能力，信息获取、整理、加工能力，网上交互能力,为运用计算机学习专业课程和以后工作奠定基础。</w:t>
            </w:r>
          </w:p>
        </w:tc>
        <w:tc>
          <w:tcPr>
            <w:tcW w:w="809" w:type="dxa"/>
            <w:tcBorders>
              <w:top w:val="nil"/>
              <w:left w:val="nil"/>
              <w:bottom w:val="single" w:color="auto" w:sz="4" w:space="0"/>
              <w:right w:val="single" w:color="auto" w:sz="4" w:space="0"/>
            </w:tcBorders>
            <w:noWrap w:val="0"/>
            <w:vAlign w:val="center"/>
          </w:tcPr>
          <w:p w14:paraId="51F8DD5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7B49A223">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18B906D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1800" w:type="dxa"/>
            <w:tcBorders>
              <w:top w:val="nil"/>
              <w:left w:val="nil"/>
              <w:bottom w:val="single" w:color="auto" w:sz="4" w:space="0"/>
              <w:right w:val="single" w:color="auto" w:sz="4" w:space="0"/>
            </w:tcBorders>
            <w:noWrap w:val="0"/>
            <w:vAlign w:val="center"/>
          </w:tcPr>
          <w:p w14:paraId="751A7E4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体育与健康</w:t>
            </w:r>
          </w:p>
        </w:tc>
        <w:tc>
          <w:tcPr>
            <w:tcW w:w="6393" w:type="dxa"/>
            <w:tcBorders>
              <w:top w:val="nil"/>
              <w:left w:val="nil"/>
              <w:bottom w:val="single" w:color="auto" w:sz="4" w:space="0"/>
              <w:right w:val="single" w:color="auto" w:sz="4" w:space="0"/>
            </w:tcBorders>
            <w:noWrap w:val="0"/>
            <w:vAlign w:val="center"/>
          </w:tcPr>
          <w:p w14:paraId="2035D4F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 xml:space="preserve">依据《中等职业学校体育与健康课程标准（2020 年版）》开设，落实立德树人的根本任务，坚持健康第一的教育理念，通过传授体育与健康的知识、技能和方法，提高学生的体育运动能力，培养运动爱好和特长，使学生养成终生体育锻炼的习惯，形成健康的行为和生活方式，健全人格，强健体魄，具备身心健康和职业生涯 </w:t>
            </w:r>
          </w:p>
          <w:p w14:paraId="3B4ACAF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color w:val="000000"/>
                <w:sz w:val="21"/>
                <w:szCs w:val="21"/>
                <w:lang w:bidi="ar"/>
              </w:rPr>
              <w:t>发展必备的体育与健康学科核心素养，引领学生逐步形成正确的世界观、人生观和价值观，成为德智体美劳全面发展的高素质劳动者和技术技能人才。</w:t>
            </w:r>
          </w:p>
        </w:tc>
        <w:tc>
          <w:tcPr>
            <w:tcW w:w="809" w:type="dxa"/>
            <w:tcBorders>
              <w:top w:val="nil"/>
              <w:left w:val="nil"/>
              <w:bottom w:val="single" w:color="auto" w:sz="4" w:space="0"/>
              <w:right w:val="single" w:color="auto" w:sz="4" w:space="0"/>
            </w:tcBorders>
            <w:noWrap w:val="0"/>
            <w:vAlign w:val="center"/>
          </w:tcPr>
          <w:p w14:paraId="3D84889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4F048AD9">
        <w:tblPrEx>
          <w:tblCellMar>
            <w:top w:w="0" w:type="dxa"/>
            <w:left w:w="108" w:type="dxa"/>
            <w:bottom w:w="0" w:type="dxa"/>
            <w:right w:w="108" w:type="dxa"/>
          </w:tblCellMar>
        </w:tblPrEx>
        <w:trPr>
          <w:trHeight w:val="358" w:hRule="atLeast"/>
          <w:jc w:val="center"/>
        </w:trPr>
        <w:tc>
          <w:tcPr>
            <w:tcW w:w="618" w:type="dxa"/>
            <w:tcBorders>
              <w:top w:val="nil"/>
              <w:left w:val="single" w:color="auto" w:sz="4" w:space="0"/>
              <w:bottom w:val="single" w:color="auto" w:sz="4" w:space="0"/>
              <w:right w:val="single" w:color="auto" w:sz="4" w:space="0"/>
            </w:tcBorders>
            <w:noWrap w:val="0"/>
            <w:vAlign w:val="center"/>
          </w:tcPr>
          <w:p w14:paraId="194E83C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1800" w:type="dxa"/>
            <w:tcBorders>
              <w:top w:val="nil"/>
              <w:left w:val="nil"/>
              <w:bottom w:val="single" w:color="auto" w:sz="4" w:space="0"/>
              <w:right w:val="single" w:color="auto" w:sz="4" w:space="0"/>
            </w:tcBorders>
            <w:noWrap w:val="0"/>
            <w:vAlign w:val="center"/>
          </w:tcPr>
          <w:p w14:paraId="573BB03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公共艺术</w:t>
            </w:r>
          </w:p>
          <w:p w14:paraId="4C1ADE7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(音乐或美术)</w:t>
            </w:r>
          </w:p>
        </w:tc>
        <w:tc>
          <w:tcPr>
            <w:tcW w:w="6393" w:type="dxa"/>
            <w:tcBorders>
              <w:top w:val="nil"/>
              <w:left w:val="nil"/>
              <w:bottom w:val="single" w:color="auto" w:sz="4" w:space="0"/>
              <w:right w:val="single" w:color="auto" w:sz="4" w:space="0"/>
            </w:tcBorders>
            <w:noWrap w:val="0"/>
            <w:vAlign w:val="center"/>
          </w:tcPr>
          <w:p w14:paraId="668F0D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根据《中等职业学校艺术课程标准（2020年版）》开设，坚持落实立德树人根本任务，使学生通过艺术鉴赏与实践等活动，发展艺术感知、审美判断、创意表达和文化理解等艺术核心素养。其中，音乐鉴赏与实践部分是以培养学的音乐审美和实践能力，提升其音乐品位为目的的音乐活动。学生通过聆听中外经典音乐作品，</w:t>
            </w:r>
          </w:p>
          <w:p w14:paraId="44723C9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color w:val="000000"/>
                <w:sz w:val="21"/>
                <w:szCs w:val="21"/>
                <w:lang w:bidi="ar"/>
              </w:rPr>
              <w:t xml:space="preserve">参与音乐实践活动，学习有关知识和技能，认识音乐的基本功能 </w:t>
            </w:r>
          </w:p>
          <w:p w14:paraId="679D6FA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color w:val="000000"/>
                <w:sz w:val="21"/>
                <w:szCs w:val="21"/>
                <w:lang w:bidi="ar"/>
              </w:rPr>
              <w:t>与作用，获得精神愉悦，提高审美情趣和音乐实践能力。美术鉴赏与实践部分是以培养学生的美术审美和实践能力,提升其美术品位为目的的美术活动。学生通过观察、体验、赏析、评判等活动，学习美术知识和技能，提高审美情趣和美术实践能力。</w:t>
            </w:r>
          </w:p>
        </w:tc>
        <w:tc>
          <w:tcPr>
            <w:tcW w:w="809" w:type="dxa"/>
            <w:tcBorders>
              <w:top w:val="nil"/>
              <w:left w:val="nil"/>
              <w:bottom w:val="single" w:color="auto" w:sz="4" w:space="0"/>
              <w:right w:val="single" w:color="auto" w:sz="4" w:space="0"/>
            </w:tcBorders>
            <w:noWrap w:val="0"/>
            <w:vAlign w:val="center"/>
          </w:tcPr>
          <w:p w14:paraId="46CD450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480F4C44">
        <w:tblPrEx>
          <w:tblCellMar>
            <w:top w:w="0" w:type="dxa"/>
            <w:left w:w="108" w:type="dxa"/>
            <w:bottom w:w="0" w:type="dxa"/>
            <w:right w:w="108" w:type="dxa"/>
          </w:tblCellMar>
        </w:tblPrEx>
        <w:trPr>
          <w:trHeight w:val="274"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1867715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1800" w:type="dxa"/>
            <w:tcBorders>
              <w:top w:val="single" w:color="auto" w:sz="4" w:space="0"/>
              <w:left w:val="nil"/>
              <w:bottom w:val="single" w:color="auto" w:sz="4" w:space="0"/>
              <w:right w:val="single" w:color="auto" w:sz="4" w:space="0"/>
            </w:tcBorders>
            <w:noWrap w:val="0"/>
            <w:vAlign w:val="center"/>
          </w:tcPr>
          <w:p w14:paraId="3FC085D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历史</w:t>
            </w:r>
          </w:p>
          <w:p w14:paraId="4B3CDBD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(中国历史+世界历史)</w:t>
            </w:r>
          </w:p>
        </w:tc>
        <w:tc>
          <w:tcPr>
            <w:tcW w:w="6393" w:type="dxa"/>
            <w:tcBorders>
              <w:top w:val="single" w:color="auto" w:sz="4" w:space="0"/>
              <w:left w:val="nil"/>
              <w:bottom w:val="single" w:color="auto" w:sz="4" w:space="0"/>
              <w:right w:val="single" w:color="auto" w:sz="4" w:space="0"/>
            </w:tcBorders>
            <w:noWrap w:val="0"/>
            <w:vAlign w:val="center"/>
          </w:tcPr>
          <w:p w14:paraId="4B2BEAE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历史课程标准(2020年版)》开设，以唯物史观为指导，落实立德树人的根本任务，引导学生通过历史课程学习，掌握必备的历史知识，形成历史学科核心素养，能运用唯物史观的基本观点认识并说明史事，将史事置于特定的时空环境下分析，能搜集、辨析 并运用史料，对史事进行理性分析和科学评判，形成正确的历史观、国家观、民族观、文化观，树立社会主义核心价值观，养成正确的世界观、人生观、价值观。课程主要内容包括中国历史和世界历史，拓展了职业教育与社会发展，以及历史上的著名工匠。倡导多元化的教学方式，鼓励学生探究学习和合作学习，发挥学生学习的积极性、主动性和创造性。</w:t>
            </w:r>
          </w:p>
        </w:tc>
        <w:tc>
          <w:tcPr>
            <w:tcW w:w="809" w:type="dxa"/>
            <w:tcBorders>
              <w:top w:val="single" w:color="auto" w:sz="4" w:space="0"/>
              <w:left w:val="nil"/>
              <w:bottom w:val="single" w:color="auto" w:sz="4" w:space="0"/>
              <w:right w:val="single" w:color="auto" w:sz="4" w:space="0"/>
            </w:tcBorders>
            <w:noWrap w:val="0"/>
            <w:vAlign w:val="center"/>
          </w:tcPr>
          <w:p w14:paraId="23D8461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7DD1805A">
        <w:tblPrEx>
          <w:tblCellMar>
            <w:top w:w="0" w:type="dxa"/>
            <w:left w:w="108" w:type="dxa"/>
            <w:bottom w:w="0" w:type="dxa"/>
            <w:right w:w="108" w:type="dxa"/>
          </w:tblCellMar>
        </w:tblPrEx>
        <w:trPr>
          <w:trHeight w:val="966"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12B2531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1800" w:type="dxa"/>
            <w:tcBorders>
              <w:top w:val="single" w:color="auto" w:sz="4" w:space="0"/>
              <w:left w:val="nil"/>
              <w:bottom w:val="single" w:color="auto" w:sz="4" w:space="0"/>
              <w:right w:val="single" w:color="auto" w:sz="4" w:space="0"/>
            </w:tcBorders>
            <w:noWrap w:val="0"/>
            <w:vAlign w:val="center"/>
          </w:tcPr>
          <w:p w14:paraId="3CA257A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物理</w:t>
            </w:r>
          </w:p>
        </w:tc>
        <w:tc>
          <w:tcPr>
            <w:tcW w:w="6393" w:type="dxa"/>
            <w:tcBorders>
              <w:top w:val="single" w:color="auto" w:sz="4" w:space="0"/>
              <w:left w:val="nil"/>
              <w:bottom w:val="single" w:color="auto" w:sz="4" w:space="0"/>
              <w:right w:val="single" w:color="auto" w:sz="4" w:space="0"/>
            </w:tcBorders>
            <w:noWrap w:val="0"/>
            <w:vAlign w:val="center"/>
          </w:tcPr>
          <w:p w14:paraId="2550198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525" w:firstLineChars="25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依据《中等职业学校物理教学大纲》开设，使学生掌握必要的物理基础知识和基本技能，激发学生探索自然、理解自然的兴趣，增强学生的创新意识和实践能力。</w:t>
            </w:r>
          </w:p>
        </w:tc>
        <w:tc>
          <w:tcPr>
            <w:tcW w:w="809" w:type="dxa"/>
            <w:tcBorders>
              <w:top w:val="single" w:color="auto" w:sz="4" w:space="0"/>
              <w:left w:val="nil"/>
              <w:bottom w:val="single" w:color="auto" w:sz="4" w:space="0"/>
              <w:right w:val="single" w:color="auto" w:sz="4" w:space="0"/>
            </w:tcBorders>
            <w:noWrap w:val="0"/>
            <w:vAlign w:val="center"/>
          </w:tcPr>
          <w:p w14:paraId="7456B80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0</w:t>
            </w:r>
          </w:p>
        </w:tc>
      </w:tr>
      <w:tr w14:paraId="5CDE2538">
        <w:tblPrEx>
          <w:tblCellMar>
            <w:top w:w="0" w:type="dxa"/>
            <w:left w:w="108" w:type="dxa"/>
            <w:bottom w:w="0" w:type="dxa"/>
            <w:right w:w="108" w:type="dxa"/>
          </w:tblCellMar>
        </w:tblPrEx>
        <w:trPr>
          <w:trHeight w:val="678" w:hRule="atLeast"/>
          <w:jc w:val="center"/>
        </w:trPr>
        <w:tc>
          <w:tcPr>
            <w:tcW w:w="618" w:type="dxa"/>
            <w:tcBorders>
              <w:top w:val="single" w:color="auto" w:sz="4" w:space="0"/>
              <w:left w:val="single" w:color="auto" w:sz="4" w:space="0"/>
              <w:bottom w:val="single" w:color="auto" w:sz="4" w:space="0"/>
              <w:right w:val="single" w:color="auto" w:sz="4" w:space="0"/>
            </w:tcBorders>
            <w:noWrap w:val="0"/>
            <w:vAlign w:val="center"/>
          </w:tcPr>
          <w:p w14:paraId="0444C1B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1800" w:type="dxa"/>
            <w:tcBorders>
              <w:top w:val="single" w:color="auto" w:sz="4" w:space="0"/>
              <w:left w:val="nil"/>
              <w:bottom w:val="single" w:color="auto" w:sz="4" w:space="0"/>
              <w:right w:val="single" w:color="auto" w:sz="4" w:space="0"/>
            </w:tcBorders>
            <w:noWrap w:val="0"/>
            <w:vAlign w:val="center"/>
          </w:tcPr>
          <w:p w14:paraId="5E1C22D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化学</w:t>
            </w:r>
          </w:p>
        </w:tc>
        <w:tc>
          <w:tcPr>
            <w:tcW w:w="6393" w:type="dxa"/>
            <w:tcBorders>
              <w:top w:val="single" w:color="auto" w:sz="4" w:space="0"/>
              <w:left w:val="nil"/>
              <w:bottom w:val="single" w:color="auto" w:sz="4" w:space="0"/>
              <w:right w:val="single" w:color="auto" w:sz="4" w:space="0"/>
            </w:tcBorders>
            <w:noWrap w:val="0"/>
            <w:vAlign w:val="center"/>
          </w:tcPr>
          <w:p w14:paraId="6216980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化学教学大纲》开设，使学生认识和了解与化学相关的自然现象和物质变化规律，帮助学生获得生产、生活所需的化学基础知识、基本技能和基本方法，养成严谨求实的科学态度，提高学生的科学素养和综合职业能力，为其职业生涯发展和终身学习奠定基础。</w:t>
            </w:r>
          </w:p>
        </w:tc>
        <w:tc>
          <w:tcPr>
            <w:tcW w:w="809" w:type="dxa"/>
            <w:tcBorders>
              <w:top w:val="single" w:color="auto" w:sz="4" w:space="0"/>
              <w:left w:val="nil"/>
              <w:bottom w:val="single" w:color="auto" w:sz="4" w:space="0"/>
              <w:right w:val="single" w:color="auto" w:sz="4" w:space="0"/>
            </w:tcBorders>
            <w:noWrap w:val="0"/>
            <w:vAlign w:val="center"/>
          </w:tcPr>
          <w:p w14:paraId="5BCAEF4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0</w:t>
            </w:r>
          </w:p>
        </w:tc>
      </w:tr>
    </w:tbl>
    <w:p w14:paraId="5E62D71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2.公共基础选修课</w:t>
      </w:r>
    </w:p>
    <w:tbl>
      <w:tblPr>
        <w:tblStyle w:val="9"/>
        <w:tblW w:w="9544" w:type="dxa"/>
        <w:jc w:val="center"/>
        <w:tblLayout w:type="fixed"/>
        <w:tblCellMar>
          <w:top w:w="0" w:type="dxa"/>
          <w:left w:w="108" w:type="dxa"/>
          <w:bottom w:w="0" w:type="dxa"/>
          <w:right w:w="108" w:type="dxa"/>
        </w:tblCellMar>
      </w:tblPr>
      <w:tblGrid>
        <w:gridCol w:w="673"/>
        <w:gridCol w:w="1620"/>
        <w:gridCol w:w="6480"/>
        <w:gridCol w:w="771"/>
      </w:tblGrid>
      <w:tr w14:paraId="24AF6A8F">
        <w:tblPrEx>
          <w:tblCellMar>
            <w:top w:w="0" w:type="dxa"/>
            <w:left w:w="108" w:type="dxa"/>
            <w:bottom w:w="0" w:type="dxa"/>
            <w:right w:w="108" w:type="dxa"/>
          </w:tblCellMar>
        </w:tblPrEx>
        <w:trPr>
          <w:trHeight w:val="1000"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39E8388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620" w:type="dxa"/>
            <w:tcBorders>
              <w:top w:val="single" w:color="auto" w:sz="4" w:space="0"/>
              <w:left w:val="nil"/>
              <w:bottom w:val="single" w:color="auto" w:sz="4" w:space="0"/>
              <w:right w:val="single" w:color="auto" w:sz="4" w:space="0"/>
            </w:tcBorders>
            <w:noWrap/>
            <w:vAlign w:val="center"/>
          </w:tcPr>
          <w:p w14:paraId="0B39DF1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6480" w:type="dxa"/>
            <w:tcBorders>
              <w:top w:val="single" w:color="auto" w:sz="4" w:space="0"/>
              <w:left w:val="nil"/>
              <w:bottom w:val="single" w:color="auto" w:sz="4" w:space="0"/>
              <w:right w:val="single" w:color="auto" w:sz="4" w:space="0"/>
            </w:tcBorders>
            <w:noWrap/>
            <w:vAlign w:val="center"/>
          </w:tcPr>
          <w:p w14:paraId="78A1F82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771" w:type="dxa"/>
            <w:tcBorders>
              <w:top w:val="single" w:color="auto" w:sz="4" w:space="0"/>
              <w:left w:val="nil"/>
              <w:bottom w:val="single" w:color="auto" w:sz="4" w:space="0"/>
              <w:right w:val="single" w:color="auto" w:sz="4" w:space="0"/>
            </w:tcBorders>
            <w:noWrap/>
            <w:vAlign w:val="center"/>
          </w:tcPr>
          <w:p w14:paraId="0BE0C7E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基本学时</w:t>
            </w:r>
          </w:p>
        </w:tc>
      </w:tr>
      <w:tr w14:paraId="0A6C9B05">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66E5594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620" w:type="dxa"/>
            <w:tcBorders>
              <w:top w:val="nil"/>
              <w:left w:val="nil"/>
              <w:bottom w:val="single" w:color="auto" w:sz="4" w:space="0"/>
              <w:right w:val="single" w:color="auto" w:sz="4" w:space="0"/>
            </w:tcBorders>
            <w:noWrap/>
            <w:vAlign w:val="center"/>
          </w:tcPr>
          <w:p w14:paraId="01C5426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劳动教育</w:t>
            </w:r>
          </w:p>
        </w:tc>
        <w:tc>
          <w:tcPr>
            <w:tcW w:w="6480" w:type="dxa"/>
            <w:tcBorders>
              <w:top w:val="nil"/>
              <w:left w:val="nil"/>
              <w:bottom w:val="single" w:color="auto" w:sz="4" w:space="0"/>
              <w:right w:val="single" w:color="auto" w:sz="4" w:space="0"/>
            </w:tcBorders>
            <w:noWrap/>
            <w:vAlign w:val="center"/>
          </w:tcPr>
          <w:p w14:paraId="742F1C4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以培养劳动观念、指导劳动实践、提升劳动能力为基本 理念，以培养学生适应当代社会需要的核心素养和现代职场需要的核心能力为具体要求，以日常生活劳动、服 务劳动、生产劳动能力的培养为教学目标。主要内容包括：劳动观念与劳动教育、劳动科学常、劳动法规与 劳动权益、劳动素养修炼与提升等理论知识。采取分场景的劳动实践指导（学校、家庭、社会、职场）方式，介绍有关通用劳动技能和职业素养的内化训练方法，旨在引导新时代学生坚定树立马克思主义劳动观，正确认识劳动的现象与本质，正确理解劳动与社会的关系，正确认识与处理中国特色劳动关系，真正懂得劳动创造价值，劳动关乎幸福人生的道理。</w:t>
            </w:r>
          </w:p>
        </w:tc>
        <w:tc>
          <w:tcPr>
            <w:tcW w:w="771" w:type="dxa"/>
            <w:tcBorders>
              <w:top w:val="nil"/>
              <w:left w:val="nil"/>
              <w:bottom w:val="single" w:color="auto" w:sz="4" w:space="0"/>
              <w:right w:val="single" w:color="auto" w:sz="4" w:space="0"/>
            </w:tcBorders>
            <w:noWrap/>
            <w:vAlign w:val="center"/>
          </w:tcPr>
          <w:p w14:paraId="4ABB676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30D85AC1">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22FADF4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620" w:type="dxa"/>
            <w:tcBorders>
              <w:top w:val="nil"/>
              <w:left w:val="nil"/>
              <w:bottom w:val="single" w:color="auto" w:sz="4" w:space="0"/>
              <w:right w:val="single" w:color="auto" w:sz="4" w:space="0"/>
            </w:tcBorders>
            <w:noWrap/>
            <w:vAlign w:val="center"/>
          </w:tcPr>
          <w:p w14:paraId="357BE55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安全教育</w:t>
            </w:r>
          </w:p>
        </w:tc>
        <w:tc>
          <w:tcPr>
            <w:tcW w:w="6480" w:type="dxa"/>
            <w:tcBorders>
              <w:top w:val="nil"/>
              <w:left w:val="nil"/>
              <w:bottom w:val="single" w:color="auto" w:sz="4" w:space="0"/>
              <w:right w:val="single" w:color="auto" w:sz="4" w:space="0"/>
            </w:tcBorders>
            <w:noWrap/>
            <w:vAlign w:val="center"/>
          </w:tcPr>
          <w:p w14:paraId="63FE23C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安全教育课程旨在培养学生应对日常生活和职场中各种安全挑战的能力。课程覆盖从基本安全知识、网络安全、到自然灾害应对技能等多个方面，强调不仅理解安全的重要性，更要通过实际操作提升学生的安全防护和应急处理能力。通过融合理论知识与实践操作，本课程致力于让学生树立科学的安全观，增强自我保护意识，为学生的未来生活和职场提供必要的安全技能和知识。</w:t>
            </w:r>
          </w:p>
        </w:tc>
        <w:tc>
          <w:tcPr>
            <w:tcW w:w="771" w:type="dxa"/>
            <w:tcBorders>
              <w:top w:val="nil"/>
              <w:left w:val="nil"/>
              <w:bottom w:val="single" w:color="auto" w:sz="4" w:space="0"/>
              <w:right w:val="single" w:color="auto" w:sz="4" w:space="0"/>
            </w:tcBorders>
            <w:noWrap/>
            <w:vAlign w:val="center"/>
          </w:tcPr>
          <w:p w14:paraId="087C414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0412B6A0">
        <w:tblPrEx>
          <w:tblCellMar>
            <w:top w:w="0" w:type="dxa"/>
            <w:left w:w="108" w:type="dxa"/>
            <w:bottom w:w="0" w:type="dxa"/>
            <w:right w:w="108" w:type="dxa"/>
          </w:tblCellMar>
        </w:tblPrEx>
        <w:trPr>
          <w:trHeight w:val="358" w:hRule="atLeast"/>
          <w:jc w:val="center"/>
        </w:trPr>
        <w:tc>
          <w:tcPr>
            <w:tcW w:w="673" w:type="dxa"/>
            <w:tcBorders>
              <w:top w:val="nil"/>
              <w:left w:val="single" w:color="auto" w:sz="4" w:space="0"/>
              <w:bottom w:val="single" w:color="auto" w:sz="4" w:space="0"/>
              <w:right w:val="single" w:color="auto" w:sz="4" w:space="0"/>
            </w:tcBorders>
            <w:noWrap/>
            <w:vAlign w:val="center"/>
          </w:tcPr>
          <w:p w14:paraId="56CADC1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620" w:type="dxa"/>
            <w:tcBorders>
              <w:top w:val="nil"/>
              <w:left w:val="nil"/>
              <w:bottom w:val="single" w:color="auto" w:sz="4" w:space="0"/>
              <w:right w:val="single" w:color="auto" w:sz="4" w:space="0"/>
            </w:tcBorders>
            <w:noWrap/>
            <w:vAlign w:val="center"/>
          </w:tcPr>
          <w:p w14:paraId="355B86F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中华优秀文化传统</w:t>
            </w:r>
          </w:p>
        </w:tc>
        <w:tc>
          <w:tcPr>
            <w:tcW w:w="6480" w:type="dxa"/>
            <w:tcBorders>
              <w:top w:val="nil"/>
              <w:left w:val="nil"/>
              <w:bottom w:val="single" w:color="auto" w:sz="4" w:space="0"/>
              <w:right w:val="single" w:color="auto" w:sz="4" w:space="0"/>
            </w:tcBorders>
            <w:noWrap/>
            <w:vAlign w:val="center"/>
          </w:tcPr>
          <w:p w14:paraId="19F066F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sz w:val="21"/>
                <w:szCs w:val="21"/>
                <w:lang w:bidi="ar"/>
              </w:rPr>
              <w:t>依据《中等职业学校中华优秀传统文化课程标准》开设，帮助学生深入了解中华民族文化的主要精神，从而培养 他们对祖国的情感和爱国情操；帮助他们理解和认识中国传统文化的优秀要素和传统思维方式，以便帮助他们 掌握多种认识方法，这在影响他们的人生、社交和工作 态度以及养成良好的行为习惯方面，有所裨益。</w:t>
            </w:r>
          </w:p>
        </w:tc>
        <w:tc>
          <w:tcPr>
            <w:tcW w:w="771" w:type="dxa"/>
            <w:tcBorders>
              <w:top w:val="nil"/>
              <w:left w:val="nil"/>
              <w:bottom w:val="single" w:color="auto" w:sz="4" w:space="0"/>
              <w:right w:val="single" w:color="auto" w:sz="4" w:space="0"/>
            </w:tcBorders>
            <w:noWrap/>
            <w:vAlign w:val="center"/>
          </w:tcPr>
          <w:p w14:paraId="3C13A52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bl>
    <w:p w14:paraId="7BB4409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b/>
          <w:sz w:val="24"/>
          <w:szCs w:val="24"/>
        </w:rPr>
      </w:pPr>
      <w:r>
        <w:rPr>
          <w:rFonts w:hint="eastAsia" w:ascii="宋体" w:hAnsi="宋体" w:eastAsia="宋体" w:cs="宋体"/>
          <w:sz w:val="24"/>
          <w:szCs w:val="24"/>
        </w:rPr>
        <w:t> </w:t>
      </w:r>
    </w:p>
    <w:p w14:paraId="1125876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14" w:name="_Toc22530"/>
      <w:r>
        <w:rPr>
          <w:rFonts w:hint="eastAsia" w:ascii="宋体" w:hAnsi="宋体" w:eastAsia="宋体" w:cs="宋体"/>
          <w:b/>
          <w:sz w:val="24"/>
          <w:szCs w:val="24"/>
        </w:rPr>
        <w:t>（二）专业技能课程</w:t>
      </w:r>
      <w:bookmarkEnd w:id="14"/>
    </w:p>
    <w:p w14:paraId="24DF139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72" w:firstLineChars="196"/>
        <w:rPr>
          <w:rFonts w:hint="eastAsia" w:ascii="宋体" w:hAnsi="宋体" w:eastAsia="宋体" w:cs="宋体"/>
          <w:b/>
          <w:sz w:val="24"/>
          <w:szCs w:val="24"/>
        </w:rPr>
      </w:pPr>
      <w:r>
        <w:rPr>
          <w:rFonts w:hint="eastAsia" w:ascii="宋体" w:hAnsi="宋体" w:eastAsia="宋体" w:cs="宋体"/>
          <w:b/>
          <w:sz w:val="24"/>
          <w:szCs w:val="24"/>
        </w:rPr>
        <w:t>1：专业基础课和专业核心课（必选课）</w:t>
      </w:r>
    </w:p>
    <w:tbl>
      <w:tblPr>
        <w:tblStyle w:val="9"/>
        <w:tblpPr w:leftFromText="180" w:rightFromText="180" w:vertAnchor="text" w:horzAnchor="margin" w:tblpXSpec="center" w:tblpY="241"/>
        <w:tblW w:w="9648" w:type="dxa"/>
        <w:tblInd w:w="0" w:type="dxa"/>
        <w:tblLayout w:type="fixed"/>
        <w:tblCellMar>
          <w:top w:w="0" w:type="dxa"/>
          <w:left w:w="108" w:type="dxa"/>
          <w:bottom w:w="0" w:type="dxa"/>
          <w:right w:w="108" w:type="dxa"/>
        </w:tblCellMar>
      </w:tblPr>
      <w:tblGrid>
        <w:gridCol w:w="648"/>
        <w:gridCol w:w="1445"/>
        <w:gridCol w:w="6743"/>
        <w:gridCol w:w="812"/>
      </w:tblGrid>
      <w:tr w14:paraId="7316B651">
        <w:tblPrEx>
          <w:tblCellMar>
            <w:top w:w="0" w:type="dxa"/>
            <w:left w:w="108" w:type="dxa"/>
            <w:bottom w:w="0" w:type="dxa"/>
            <w:right w:w="108" w:type="dxa"/>
          </w:tblCellMar>
        </w:tblPrEx>
        <w:trPr>
          <w:trHeight w:val="385" w:hRule="atLeast"/>
        </w:trPr>
        <w:tc>
          <w:tcPr>
            <w:tcW w:w="648" w:type="dxa"/>
            <w:tcBorders>
              <w:top w:val="single" w:color="auto" w:sz="4" w:space="0"/>
              <w:left w:val="single" w:color="auto" w:sz="4" w:space="0"/>
              <w:bottom w:val="single" w:color="auto" w:sz="4" w:space="0"/>
              <w:right w:val="single" w:color="auto" w:sz="4" w:space="0"/>
            </w:tcBorders>
            <w:noWrap/>
            <w:vAlign w:val="center"/>
          </w:tcPr>
          <w:p w14:paraId="3BB53B9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445" w:type="dxa"/>
            <w:tcBorders>
              <w:top w:val="single" w:color="auto" w:sz="4" w:space="0"/>
              <w:left w:val="nil"/>
              <w:bottom w:val="single" w:color="auto" w:sz="4" w:space="0"/>
              <w:right w:val="single" w:color="auto" w:sz="4" w:space="0"/>
            </w:tcBorders>
            <w:noWrap/>
            <w:vAlign w:val="center"/>
          </w:tcPr>
          <w:p w14:paraId="4C81AAC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6743" w:type="dxa"/>
            <w:tcBorders>
              <w:top w:val="single" w:color="auto" w:sz="4" w:space="0"/>
              <w:left w:val="nil"/>
              <w:bottom w:val="single" w:color="auto" w:sz="4" w:space="0"/>
              <w:right w:val="single" w:color="auto" w:sz="4" w:space="0"/>
            </w:tcBorders>
            <w:noWrap/>
            <w:vAlign w:val="center"/>
          </w:tcPr>
          <w:p w14:paraId="45074EB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主要教学内容与要求</w:t>
            </w:r>
          </w:p>
        </w:tc>
        <w:tc>
          <w:tcPr>
            <w:tcW w:w="812" w:type="dxa"/>
            <w:tcBorders>
              <w:top w:val="single" w:color="auto" w:sz="4" w:space="0"/>
              <w:left w:val="nil"/>
              <w:bottom w:val="single" w:color="auto" w:sz="4" w:space="0"/>
              <w:right w:val="single" w:color="auto" w:sz="4" w:space="0"/>
            </w:tcBorders>
            <w:noWrap/>
            <w:vAlign w:val="center"/>
          </w:tcPr>
          <w:p w14:paraId="2FCD77D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参考</w:t>
            </w:r>
          </w:p>
          <w:p w14:paraId="507CCC0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学时</w:t>
            </w:r>
          </w:p>
        </w:tc>
      </w:tr>
      <w:tr w14:paraId="120A83C5">
        <w:tblPrEx>
          <w:tblCellMar>
            <w:top w:w="0" w:type="dxa"/>
            <w:left w:w="108" w:type="dxa"/>
            <w:bottom w:w="0" w:type="dxa"/>
            <w:right w:w="108" w:type="dxa"/>
          </w:tblCellMar>
        </w:tblPrEx>
        <w:trPr>
          <w:trHeight w:val="90" w:hRule="atLeast"/>
        </w:trPr>
        <w:tc>
          <w:tcPr>
            <w:tcW w:w="648" w:type="dxa"/>
            <w:tcBorders>
              <w:top w:val="nil"/>
              <w:left w:val="single" w:color="auto" w:sz="4" w:space="0"/>
              <w:bottom w:val="single" w:color="auto" w:sz="4" w:space="0"/>
              <w:right w:val="single" w:color="auto" w:sz="4" w:space="0"/>
            </w:tcBorders>
            <w:noWrap/>
            <w:vAlign w:val="center"/>
          </w:tcPr>
          <w:p w14:paraId="7A1507C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445" w:type="dxa"/>
            <w:tcBorders>
              <w:top w:val="nil"/>
              <w:left w:val="nil"/>
              <w:bottom w:val="single" w:color="auto" w:sz="4" w:space="0"/>
              <w:right w:val="single" w:color="auto" w:sz="4" w:space="0"/>
            </w:tcBorders>
            <w:noWrap/>
            <w:vAlign w:val="center"/>
          </w:tcPr>
          <w:p w14:paraId="700F43E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机械制图</w:t>
            </w:r>
          </w:p>
        </w:tc>
        <w:tc>
          <w:tcPr>
            <w:tcW w:w="6743" w:type="dxa"/>
            <w:tcBorders>
              <w:top w:val="nil"/>
              <w:left w:val="nil"/>
              <w:bottom w:val="single" w:color="auto" w:sz="4" w:space="0"/>
              <w:right w:val="single" w:color="auto" w:sz="4" w:space="0"/>
            </w:tcBorders>
            <w:noWrap/>
            <w:vAlign w:val="center"/>
          </w:tcPr>
          <w:p w14:paraId="08C7B67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1、掌握机械制图的基本标准和规范；理解投影法的基本原理和三视图的形成过程；熟悉基本体、组合体、机件的表达方法；掌握标准件和常用件的规定画法和标记方法；了解零件图和装配图的作用和内容。</w:t>
            </w:r>
          </w:p>
          <w:p w14:paraId="2284AFA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正确使用绘图工具和仪器，绘制出符合国家标准的机械图样；具备根据物体的结构特点，合理选择视图表达方案的能力；能够熟练地阅读和分析零件图和装配图，获取所需的信息；能够根据装配图拆画零件图。</w:t>
            </w:r>
          </w:p>
          <w:p w14:paraId="607BD3D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3、培养学生严谨的工作态度、认真负责的工作作风和良好的职业道德；提高学生的空间想象能力、逻辑思维能力和创新能力；增强学生的团队合作精神和沟通能力。</w:t>
            </w:r>
          </w:p>
        </w:tc>
        <w:tc>
          <w:tcPr>
            <w:tcW w:w="812" w:type="dxa"/>
            <w:tcBorders>
              <w:top w:val="nil"/>
              <w:left w:val="nil"/>
              <w:bottom w:val="single" w:color="auto" w:sz="4" w:space="0"/>
              <w:right w:val="single" w:color="auto" w:sz="4" w:space="0"/>
            </w:tcBorders>
            <w:noWrap/>
            <w:vAlign w:val="center"/>
          </w:tcPr>
          <w:p w14:paraId="0344BE3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0DCDE0FA">
        <w:tblPrEx>
          <w:tblCellMar>
            <w:top w:w="0" w:type="dxa"/>
            <w:left w:w="108" w:type="dxa"/>
            <w:bottom w:w="0" w:type="dxa"/>
            <w:right w:w="108" w:type="dxa"/>
          </w:tblCellMar>
        </w:tblPrEx>
        <w:trPr>
          <w:trHeight w:val="497" w:hRule="atLeast"/>
        </w:trPr>
        <w:tc>
          <w:tcPr>
            <w:tcW w:w="648" w:type="dxa"/>
            <w:tcBorders>
              <w:top w:val="nil"/>
              <w:left w:val="single" w:color="auto" w:sz="4" w:space="0"/>
              <w:bottom w:val="single" w:color="auto" w:sz="4" w:space="0"/>
              <w:right w:val="single" w:color="auto" w:sz="4" w:space="0"/>
            </w:tcBorders>
            <w:noWrap/>
            <w:vAlign w:val="center"/>
          </w:tcPr>
          <w:p w14:paraId="1847DD1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445" w:type="dxa"/>
            <w:tcBorders>
              <w:top w:val="nil"/>
              <w:left w:val="nil"/>
              <w:bottom w:val="single" w:color="auto" w:sz="4" w:space="0"/>
              <w:right w:val="single" w:color="auto" w:sz="4" w:space="0"/>
            </w:tcBorders>
            <w:noWrap/>
            <w:vAlign w:val="center"/>
          </w:tcPr>
          <w:p w14:paraId="2F43B25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机械基础</w:t>
            </w:r>
          </w:p>
        </w:tc>
        <w:tc>
          <w:tcPr>
            <w:tcW w:w="6743" w:type="dxa"/>
            <w:tcBorders>
              <w:top w:val="nil"/>
              <w:left w:val="nil"/>
              <w:bottom w:val="single" w:color="auto" w:sz="4" w:space="0"/>
              <w:right w:val="single" w:color="auto" w:sz="4" w:space="0"/>
            </w:tcBorders>
            <w:noWrap/>
            <w:vAlign w:val="center"/>
          </w:tcPr>
          <w:p w14:paraId="56C0785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1、要掌握工程力学的基本概念、原理和分析方法；熟悉各种机械传动、常用机构、轴系零件和液压传动的工作原理、特点、应用及相关基本理论知识。</w:t>
            </w:r>
          </w:p>
          <w:p w14:paraId="5B7F6EF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对简单机械系统进行受力分析和强度计算；能根据工作要求合理选择机械传动方式、常用机构、轴系零件和液压元件，并进行简单的设计和计算；具备分析和解决机械工程中常见问题的能力，如机械故障诊断、液压系统故障排除等。</w:t>
            </w:r>
          </w:p>
          <w:p w14:paraId="6F759D4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3、培养学生的工程思维能力、创新意识和实践能力；树立严谨的科学态度和良好的职业道德，增强学生在机械工程领域的职业素养和责任感。</w:t>
            </w:r>
          </w:p>
        </w:tc>
        <w:tc>
          <w:tcPr>
            <w:tcW w:w="812" w:type="dxa"/>
            <w:tcBorders>
              <w:top w:val="nil"/>
              <w:left w:val="nil"/>
              <w:bottom w:val="single" w:color="auto" w:sz="4" w:space="0"/>
              <w:right w:val="single" w:color="auto" w:sz="4" w:space="0"/>
            </w:tcBorders>
            <w:noWrap/>
            <w:vAlign w:val="center"/>
          </w:tcPr>
          <w:p w14:paraId="5739AB7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240</w:t>
            </w:r>
          </w:p>
        </w:tc>
      </w:tr>
      <w:tr w14:paraId="6C979810">
        <w:tblPrEx>
          <w:tblCellMar>
            <w:top w:w="0" w:type="dxa"/>
            <w:left w:w="108" w:type="dxa"/>
            <w:bottom w:w="0" w:type="dxa"/>
            <w:right w:w="108" w:type="dxa"/>
          </w:tblCellMar>
        </w:tblPrEx>
        <w:trPr>
          <w:trHeight w:val="650" w:hRule="atLeast"/>
        </w:trPr>
        <w:tc>
          <w:tcPr>
            <w:tcW w:w="648" w:type="dxa"/>
            <w:tcBorders>
              <w:top w:val="nil"/>
              <w:left w:val="single" w:color="auto" w:sz="4" w:space="0"/>
              <w:bottom w:val="single" w:color="auto" w:sz="4" w:space="0"/>
              <w:right w:val="single" w:color="auto" w:sz="4" w:space="0"/>
            </w:tcBorders>
            <w:noWrap/>
            <w:vAlign w:val="center"/>
          </w:tcPr>
          <w:p w14:paraId="728B9BA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445" w:type="dxa"/>
            <w:tcBorders>
              <w:top w:val="nil"/>
              <w:left w:val="nil"/>
              <w:bottom w:val="single" w:color="auto" w:sz="4" w:space="0"/>
              <w:right w:val="single" w:color="auto" w:sz="4" w:space="0"/>
            </w:tcBorders>
            <w:noWrap/>
            <w:vAlign w:val="center"/>
          </w:tcPr>
          <w:p w14:paraId="5F304F4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极限配合与技术测量</w:t>
            </w:r>
          </w:p>
        </w:tc>
        <w:tc>
          <w:tcPr>
            <w:tcW w:w="6743" w:type="dxa"/>
            <w:tcBorders>
              <w:top w:val="nil"/>
              <w:left w:val="nil"/>
              <w:bottom w:val="single" w:color="auto" w:sz="4" w:space="0"/>
              <w:right w:val="single" w:color="auto" w:sz="4" w:space="0"/>
            </w:tcBorders>
            <w:noWrap/>
            <w:vAlign w:val="top"/>
          </w:tcPr>
          <w:p w14:paraId="781EF74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1、掌握极限与配合、几何公差、表面粗糙度、尺寸链和技术测量的基本概念、原理和方法；熟悉相关的国家标准和技术规范；了解各种测量仪器的工作原理和使用方法。</w:t>
            </w:r>
          </w:p>
          <w:p w14:paraId="6763519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零件的使用要求，合理选择极限与配合、几何公差和表面粗糙度；能正确使用常用量具进行尺寸、形状和位置误差的测量；具备运用尺寸链原理进行工艺尺寸计算和装配精度分析的能力；能够对测量数据进行处理和分析，判断测量结果的准确性和可靠性。</w:t>
            </w:r>
          </w:p>
          <w:p w14:paraId="7E4FD3F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3、培养学生严谨的科学态度、认真负责的工作作风和良好的职业素养；提高学生的质量意识和标准化意识；增强学生的实践能力和创新能力，使其能够适应现代制造业对技术人才的要求。</w:t>
            </w:r>
          </w:p>
        </w:tc>
        <w:tc>
          <w:tcPr>
            <w:tcW w:w="812" w:type="dxa"/>
            <w:tcBorders>
              <w:top w:val="nil"/>
              <w:left w:val="nil"/>
              <w:bottom w:val="single" w:color="auto" w:sz="4" w:space="0"/>
              <w:right w:val="single" w:color="auto" w:sz="4" w:space="0"/>
            </w:tcBorders>
            <w:noWrap/>
            <w:vAlign w:val="center"/>
          </w:tcPr>
          <w:p w14:paraId="0C359B1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6C8A90C4">
        <w:tblPrEx>
          <w:tblCellMar>
            <w:top w:w="0" w:type="dxa"/>
            <w:left w:w="108" w:type="dxa"/>
            <w:bottom w:w="0" w:type="dxa"/>
            <w:right w:w="108" w:type="dxa"/>
          </w:tblCellMar>
        </w:tblPrEx>
        <w:trPr>
          <w:trHeight w:val="800" w:hRule="atLeast"/>
        </w:trPr>
        <w:tc>
          <w:tcPr>
            <w:tcW w:w="648" w:type="dxa"/>
            <w:tcBorders>
              <w:top w:val="nil"/>
              <w:left w:val="single" w:color="auto" w:sz="4" w:space="0"/>
              <w:bottom w:val="single" w:color="auto" w:sz="4" w:space="0"/>
              <w:right w:val="single" w:color="auto" w:sz="4" w:space="0"/>
            </w:tcBorders>
            <w:noWrap/>
            <w:vAlign w:val="center"/>
          </w:tcPr>
          <w:p w14:paraId="54C4440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1445" w:type="dxa"/>
            <w:tcBorders>
              <w:top w:val="nil"/>
              <w:left w:val="nil"/>
              <w:bottom w:val="single" w:color="auto" w:sz="4" w:space="0"/>
              <w:right w:val="single" w:color="auto" w:sz="4" w:space="0"/>
            </w:tcBorders>
            <w:noWrap/>
            <w:vAlign w:val="center"/>
          </w:tcPr>
          <w:p w14:paraId="1D1A917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金属工艺学</w:t>
            </w:r>
          </w:p>
        </w:tc>
        <w:tc>
          <w:tcPr>
            <w:tcW w:w="6743" w:type="dxa"/>
            <w:tcBorders>
              <w:top w:val="nil"/>
              <w:left w:val="nil"/>
              <w:bottom w:val="single" w:color="auto" w:sz="4" w:space="0"/>
              <w:right w:val="single" w:color="auto" w:sz="4" w:space="0"/>
            </w:tcBorders>
            <w:noWrap/>
            <w:vAlign w:val="top"/>
          </w:tcPr>
          <w:p w14:paraId="17DB201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1、掌握金属材料的基本理论知识，熟悉常用金属材料的性能和应用；了解热加工和冷加工工艺的基本原理、工艺过程和设备；掌握机械加工工艺规程制定的基本方法和步骤。</w:t>
            </w:r>
          </w:p>
          <w:p w14:paraId="0087C7A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2、能够根据零件的使用要求和生产批量，合理选择材料和加工工艺；具备分析和解决材料选用、加工工艺过程中常见问题的能力；能够制定简单零件的机械加工工艺规程。</w:t>
            </w:r>
          </w:p>
          <w:p w14:paraId="4CD5647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3、培养学生的工程实践能力和创新意识，使其具备严谨的科学态度和良好的职业道德；增强学生的质量意识和经济意识，提高学生综合运用所学知识解决实际工程问题的能力。</w:t>
            </w:r>
          </w:p>
        </w:tc>
        <w:tc>
          <w:tcPr>
            <w:tcW w:w="812" w:type="dxa"/>
            <w:tcBorders>
              <w:top w:val="nil"/>
              <w:left w:val="nil"/>
              <w:bottom w:val="single" w:color="auto" w:sz="4" w:space="0"/>
              <w:right w:val="single" w:color="auto" w:sz="4" w:space="0"/>
            </w:tcBorders>
            <w:noWrap/>
            <w:vAlign w:val="center"/>
          </w:tcPr>
          <w:p w14:paraId="641538A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017AEE9F">
        <w:tblPrEx>
          <w:tblCellMar>
            <w:top w:w="0" w:type="dxa"/>
            <w:left w:w="108" w:type="dxa"/>
            <w:bottom w:w="0" w:type="dxa"/>
            <w:right w:w="108" w:type="dxa"/>
          </w:tblCellMar>
        </w:tblPrEx>
        <w:trPr>
          <w:trHeight w:val="90" w:hRule="atLeast"/>
        </w:trPr>
        <w:tc>
          <w:tcPr>
            <w:tcW w:w="648" w:type="dxa"/>
            <w:tcBorders>
              <w:top w:val="nil"/>
              <w:left w:val="single" w:color="auto" w:sz="4" w:space="0"/>
              <w:bottom w:val="single" w:color="auto" w:sz="4" w:space="0"/>
              <w:right w:val="single" w:color="auto" w:sz="4" w:space="0"/>
            </w:tcBorders>
            <w:noWrap/>
            <w:vAlign w:val="center"/>
          </w:tcPr>
          <w:p w14:paraId="449CC0D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1445" w:type="dxa"/>
            <w:tcBorders>
              <w:top w:val="nil"/>
              <w:left w:val="nil"/>
              <w:bottom w:val="single" w:color="auto" w:sz="4" w:space="0"/>
              <w:right w:val="single" w:color="auto" w:sz="4" w:space="0"/>
            </w:tcBorders>
            <w:noWrap/>
            <w:vAlign w:val="center"/>
          </w:tcPr>
          <w:p w14:paraId="311510A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电工技术基础</w:t>
            </w:r>
          </w:p>
        </w:tc>
        <w:tc>
          <w:tcPr>
            <w:tcW w:w="6743" w:type="dxa"/>
            <w:tcBorders>
              <w:top w:val="nil"/>
              <w:left w:val="nil"/>
              <w:bottom w:val="single" w:color="auto" w:sz="4" w:space="0"/>
              <w:right w:val="single" w:color="auto" w:sz="4" w:space="0"/>
            </w:tcBorders>
            <w:noWrap/>
            <w:vAlign w:val="top"/>
          </w:tcPr>
          <w:p w14:paraId="5965F09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1、掌握电路的基本概念、基本定律和基本分析方法；理解正弦交流电路、三相电路、磁路与变压器、电动机的工作原理和特性；熟悉电工测量的基本方法和仪器的使用。</w:t>
            </w:r>
          </w:p>
          <w:p w14:paraId="7594458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2、能够运用所学知识分析和计算简单直流电路和正弦交流电路；能正确使用电工工具和仪器进行电路参数的测量和故障排除；具备对电动机进行基本操作和维护的能力。</w:t>
            </w:r>
          </w:p>
          <w:p w14:paraId="1150D9A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3、培养学生的科学思维能力和实践能力，使其具备严谨的工作态度和安全意识；增强学生对电工技术在工程实际中应用的认识，提高学生解决实际问题的能力</w:t>
            </w:r>
          </w:p>
        </w:tc>
        <w:tc>
          <w:tcPr>
            <w:tcW w:w="812" w:type="dxa"/>
            <w:tcBorders>
              <w:top w:val="nil"/>
              <w:left w:val="nil"/>
              <w:bottom w:val="single" w:color="auto" w:sz="4" w:space="0"/>
              <w:right w:val="single" w:color="auto" w:sz="4" w:space="0"/>
            </w:tcBorders>
            <w:noWrap/>
            <w:vAlign w:val="center"/>
          </w:tcPr>
          <w:p w14:paraId="0209731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D508775">
        <w:tblPrEx>
          <w:tblCellMar>
            <w:top w:w="0" w:type="dxa"/>
            <w:left w:w="108" w:type="dxa"/>
            <w:bottom w:w="0" w:type="dxa"/>
            <w:right w:w="108" w:type="dxa"/>
          </w:tblCellMar>
        </w:tblPrEx>
        <w:trPr>
          <w:trHeight w:val="525" w:hRule="atLeast"/>
        </w:trPr>
        <w:tc>
          <w:tcPr>
            <w:tcW w:w="648" w:type="dxa"/>
            <w:tcBorders>
              <w:top w:val="nil"/>
              <w:left w:val="single" w:color="auto" w:sz="4" w:space="0"/>
              <w:bottom w:val="single" w:color="auto" w:sz="4" w:space="0"/>
              <w:right w:val="single" w:color="auto" w:sz="4" w:space="0"/>
            </w:tcBorders>
            <w:noWrap/>
            <w:vAlign w:val="center"/>
          </w:tcPr>
          <w:p w14:paraId="000EFA0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1445" w:type="dxa"/>
            <w:tcBorders>
              <w:top w:val="nil"/>
              <w:left w:val="nil"/>
              <w:bottom w:val="single" w:color="auto" w:sz="4" w:space="0"/>
              <w:right w:val="single" w:color="auto" w:sz="4" w:space="0"/>
            </w:tcBorders>
            <w:noWrap/>
            <w:vAlign w:val="center"/>
          </w:tcPr>
          <w:p w14:paraId="555690A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AutoCAD制图</w:t>
            </w:r>
          </w:p>
        </w:tc>
        <w:tc>
          <w:tcPr>
            <w:tcW w:w="6743" w:type="dxa"/>
            <w:tcBorders>
              <w:top w:val="nil"/>
              <w:left w:val="nil"/>
              <w:bottom w:val="single" w:color="auto" w:sz="4" w:space="0"/>
              <w:right w:val="single" w:color="auto" w:sz="4" w:space="0"/>
            </w:tcBorders>
            <w:noWrap/>
            <w:vAlign w:val="top"/>
          </w:tcPr>
          <w:p w14:paraId="046A900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1、掌握AutoCAD软件的基本概念、功能和操作方法，理解二维绘图和三维绘图的相关知识，熟悉图纸布局和打印输出的流程。</w:t>
            </w:r>
          </w:p>
          <w:p w14:paraId="72335D0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2、能够熟练运用AutoCAD进行精确的二维图形绘制和编辑，能创建简单的三维模型并进行基本编辑，能够合理设置尺寸标注和文字注释，能根据需要进行图纸布局和打印输出设置。</w:t>
            </w:r>
          </w:p>
          <w:p w14:paraId="7ABFFA0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sz w:val="21"/>
                <w:szCs w:val="21"/>
              </w:rPr>
              <w:t>3、培养学生的空间思维能力和严谨的绘图态度，提高学生的计算机辅助设计技能和解决实际绘图问题的能力，使其具备将设计理念通过AutoCAD准确表达出来的职业素养。</w:t>
            </w:r>
          </w:p>
        </w:tc>
        <w:tc>
          <w:tcPr>
            <w:tcW w:w="812" w:type="dxa"/>
            <w:tcBorders>
              <w:top w:val="nil"/>
              <w:left w:val="nil"/>
              <w:bottom w:val="single" w:color="auto" w:sz="4" w:space="0"/>
              <w:right w:val="single" w:color="auto" w:sz="4" w:space="0"/>
            </w:tcBorders>
            <w:noWrap/>
            <w:vAlign w:val="center"/>
          </w:tcPr>
          <w:p w14:paraId="05C94A6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w:t>
            </w:r>
          </w:p>
        </w:tc>
      </w:tr>
      <w:tr w14:paraId="6E3F835A">
        <w:tblPrEx>
          <w:tblCellMar>
            <w:top w:w="0" w:type="dxa"/>
            <w:left w:w="108" w:type="dxa"/>
            <w:bottom w:w="0" w:type="dxa"/>
            <w:right w:w="108" w:type="dxa"/>
          </w:tblCellMar>
        </w:tblPrEx>
        <w:trPr>
          <w:trHeight w:val="2642" w:hRule="atLeast"/>
        </w:trPr>
        <w:tc>
          <w:tcPr>
            <w:tcW w:w="648" w:type="dxa"/>
            <w:tcBorders>
              <w:top w:val="nil"/>
              <w:left w:val="single" w:color="auto" w:sz="4" w:space="0"/>
              <w:bottom w:val="single" w:color="auto" w:sz="4" w:space="0"/>
              <w:right w:val="single" w:color="auto" w:sz="4" w:space="0"/>
            </w:tcBorders>
            <w:noWrap/>
            <w:vAlign w:val="center"/>
          </w:tcPr>
          <w:p w14:paraId="519EA6A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1445" w:type="dxa"/>
            <w:tcBorders>
              <w:top w:val="nil"/>
              <w:left w:val="nil"/>
              <w:bottom w:val="single" w:color="auto" w:sz="4" w:space="0"/>
              <w:right w:val="single" w:color="auto" w:sz="4" w:space="0"/>
            </w:tcBorders>
            <w:noWrap/>
            <w:vAlign w:val="center"/>
          </w:tcPr>
          <w:p w14:paraId="71ACD69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sz w:val="21"/>
                <w:szCs w:val="21"/>
              </w:rPr>
              <w:t>电子技术基础</w:t>
            </w:r>
          </w:p>
        </w:tc>
        <w:tc>
          <w:tcPr>
            <w:tcW w:w="6743" w:type="dxa"/>
            <w:tcBorders>
              <w:top w:val="nil"/>
              <w:left w:val="nil"/>
              <w:bottom w:val="single" w:color="auto" w:sz="4" w:space="0"/>
              <w:right w:val="single" w:color="auto" w:sz="4" w:space="0"/>
            </w:tcBorders>
            <w:noWrap/>
            <w:vAlign w:val="top"/>
          </w:tcPr>
          <w:p w14:paraId="44D5FD2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1、掌握半导体器件的工作原理和特性；理解各种模拟和数字电路的组成、工作原理和性能特点；熟悉常用电子仪器的使用方法。</w:t>
            </w:r>
          </w:p>
          <w:p w14:paraId="0C675B1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2、能够运用所学知识分析和设计简单的模拟和数字电路；能正确使用电子仪器进行电路参数的测量和调试；具备对电子电路故障进行分析和排除的能力。</w:t>
            </w:r>
          </w:p>
          <w:p w14:paraId="570F221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3、培养学生的创新思维和实践能力，使其具备严谨的科学态度和良好的工程素养；增强学生对电子技术在实际工程中的应用能力，提高学生解决实际问题的能力。</w:t>
            </w:r>
          </w:p>
        </w:tc>
        <w:tc>
          <w:tcPr>
            <w:tcW w:w="812" w:type="dxa"/>
            <w:tcBorders>
              <w:top w:val="nil"/>
              <w:left w:val="nil"/>
              <w:bottom w:val="single" w:color="auto" w:sz="4" w:space="0"/>
              <w:right w:val="single" w:color="auto" w:sz="4" w:space="0"/>
            </w:tcBorders>
            <w:noWrap/>
            <w:vAlign w:val="center"/>
          </w:tcPr>
          <w:p w14:paraId="1CE089B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80</w:t>
            </w:r>
          </w:p>
        </w:tc>
      </w:tr>
      <w:tr w14:paraId="3AAF9046">
        <w:tblPrEx>
          <w:tblCellMar>
            <w:top w:w="0" w:type="dxa"/>
            <w:left w:w="108" w:type="dxa"/>
            <w:bottom w:w="0" w:type="dxa"/>
            <w:right w:w="108" w:type="dxa"/>
          </w:tblCellMar>
        </w:tblPrEx>
        <w:trPr>
          <w:trHeight w:val="1692" w:hRule="atLeast"/>
        </w:trPr>
        <w:tc>
          <w:tcPr>
            <w:tcW w:w="648" w:type="dxa"/>
            <w:tcBorders>
              <w:top w:val="nil"/>
              <w:left w:val="single" w:color="auto" w:sz="4" w:space="0"/>
              <w:bottom w:val="single" w:color="auto" w:sz="4" w:space="0"/>
              <w:right w:val="single" w:color="auto" w:sz="4" w:space="0"/>
            </w:tcBorders>
            <w:noWrap/>
            <w:vAlign w:val="center"/>
          </w:tcPr>
          <w:p w14:paraId="2BE37C1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1445" w:type="dxa"/>
            <w:tcBorders>
              <w:top w:val="nil"/>
              <w:left w:val="nil"/>
              <w:bottom w:val="single" w:color="auto" w:sz="4" w:space="0"/>
              <w:right w:val="single" w:color="auto" w:sz="4" w:space="0"/>
            </w:tcBorders>
            <w:noWrap/>
            <w:vAlign w:val="center"/>
          </w:tcPr>
          <w:p w14:paraId="09AD08F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spacing w:val="-7"/>
                <w:sz w:val="21"/>
                <w:szCs w:val="21"/>
              </w:rPr>
              <w:t>气动与</w:t>
            </w:r>
            <w:r>
              <w:rPr>
                <w:rFonts w:hint="eastAsia" w:ascii="宋体" w:hAnsi="宋体" w:eastAsia="宋体" w:cs="宋体"/>
                <w:spacing w:val="15"/>
                <w:sz w:val="21"/>
                <w:szCs w:val="21"/>
              </w:rPr>
              <w:t>液压</w:t>
            </w:r>
            <w:r>
              <w:rPr>
                <w:rFonts w:hint="eastAsia" w:ascii="宋体" w:hAnsi="宋体" w:eastAsia="宋体" w:cs="宋体"/>
                <w:spacing w:val="-7"/>
                <w:sz w:val="21"/>
                <w:szCs w:val="21"/>
              </w:rPr>
              <w:t>传动</w:t>
            </w:r>
          </w:p>
        </w:tc>
        <w:tc>
          <w:tcPr>
            <w:tcW w:w="6743" w:type="dxa"/>
            <w:tcBorders>
              <w:top w:val="nil"/>
              <w:left w:val="nil"/>
              <w:bottom w:val="single" w:color="auto" w:sz="4" w:space="0"/>
              <w:right w:val="single" w:color="auto" w:sz="4" w:space="0"/>
            </w:tcBorders>
            <w:noWrap/>
            <w:vAlign w:val="top"/>
          </w:tcPr>
          <w:p w14:paraId="4370015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t>1、知识要求：学生应掌握流体力学的基本理论，理解液压与气动传动的工作原理、组成和特点，熟悉各种液压元件、气动元件的结构、工作原理及性能参数，掌握液压与气动基本回路的组成、工作原理和应用。</w:t>
            </w:r>
          </w:p>
          <w:p w14:paraId="61AA35B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t>2、能力要求：能够根据具体的工作要求，合理选用液压和气动元件，设计简单的液压与气动系统。具备对液压与气动系统进行安装、调试、维护和故障排除的能力。能够阅读和分析液压与气动系统原理图。</w:t>
            </w:r>
          </w:p>
          <w:p w14:paraId="021B160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3、素质要求：培养学生的工程思维能力、创新能力和实践能力，提高学生的团队协作精神和安全生产意识，使其具备严谨的科学态度和良好的职业素养。</w:t>
            </w:r>
          </w:p>
        </w:tc>
        <w:tc>
          <w:tcPr>
            <w:tcW w:w="812" w:type="dxa"/>
            <w:tcBorders>
              <w:top w:val="nil"/>
              <w:left w:val="nil"/>
              <w:bottom w:val="single" w:color="auto" w:sz="4" w:space="0"/>
              <w:right w:val="single" w:color="auto" w:sz="4" w:space="0"/>
            </w:tcBorders>
            <w:noWrap/>
            <w:vAlign w:val="center"/>
          </w:tcPr>
          <w:p w14:paraId="70CF48E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80</w:t>
            </w:r>
          </w:p>
        </w:tc>
      </w:tr>
      <w:tr w14:paraId="3392B315">
        <w:tblPrEx>
          <w:tblCellMar>
            <w:top w:w="0" w:type="dxa"/>
            <w:left w:w="108" w:type="dxa"/>
            <w:bottom w:w="0" w:type="dxa"/>
            <w:right w:w="108" w:type="dxa"/>
          </w:tblCellMar>
        </w:tblPrEx>
        <w:trPr>
          <w:trHeight w:val="536" w:hRule="atLeast"/>
        </w:trPr>
        <w:tc>
          <w:tcPr>
            <w:tcW w:w="648" w:type="dxa"/>
            <w:tcBorders>
              <w:top w:val="nil"/>
              <w:left w:val="single" w:color="auto" w:sz="4" w:space="0"/>
              <w:bottom w:val="single" w:color="auto" w:sz="4" w:space="0"/>
              <w:right w:val="single" w:color="auto" w:sz="4" w:space="0"/>
            </w:tcBorders>
            <w:noWrap/>
            <w:vAlign w:val="center"/>
          </w:tcPr>
          <w:p w14:paraId="22A98D7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1445" w:type="dxa"/>
            <w:tcBorders>
              <w:top w:val="nil"/>
              <w:left w:val="nil"/>
              <w:bottom w:val="single" w:color="auto" w:sz="4" w:space="0"/>
              <w:right w:val="single" w:color="auto" w:sz="4" w:space="0"/>
            </w:tcBorders>
            <w:noWrap/>
            <w:vAlign w:val="center"/>
          </w:tcPr>
          <w:p w14:paraId="6D566E4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1"/>
                <w:sz w:val="21"/>
                <w:szCs w:val="21"/>
              </w:rPr>
              <w:t>传感器</w:t>
            </w:r>
            <w:r>
              <w:rPr>
                <w:rFonts w:hint="eastAsia" w:ascii="宋体" w:hAnsi="宋体" w:eastAsia="宋体" w:cs="宋体"/>
                <w:sz w:val="21"/>
                <w:szCs w:val="21"/>
              </w:rPr>
              <w:t>技术应用</w:t>
            </w:r>
          </w:p>
        </w:tc>
        <w:tc>
          <w:tcPr>
            <w:tcW w:w="6743" w:type="dxa"/>
            <w:tcBorders>
              <w:top w:val="nil"/>
              <w:left w:val="nil"/>
              <w:bottom w:val="single" w:color="auto" w:sz="4" w:space="0"/>
              <w:right w:val="single" w:color="auto" w:sz="4" w:space="0"/>
            </w:tcBorders>
            <w:noWrap/>
            <w:vAlign w:val="top"/>
          </w:tcPr>
          <w:p w14:paraId="33EDC08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1、掌握传感器的基本概念、工作原理和性能指标，熟悉常用传感器的结构、特点及应用范围，了解传感器信号调理与转换的基本原理和方法。</w:t>
            </w:r>
          </w:p>
          <w:p w14:paraId="712FD2E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2、能够根据具体的测量任务选择合适的传感器，并设计相应的测量电路。具备对传感器信号进行调理和转换的能力，能够运用所学知识解决传感器应用中的实际问题，如抗干扰设计、系统调试等。</w:t>
            </w:r>
          </w:p>
          <w:p w14:paraId="55D0825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3、培养学生的创新思维和实践能力，提高学生的工程素养和职业素质，使其具备严谨的工作态度、团队协作精神和安全生产意识。</w:t>
            </w:r>
          </w:p>
        </w:tc>
        <w:tc>
          <w:tcPr>
            <w:tcW w:w="812" w:type="dxa"/>
            <w:tcBorders>
              <w:top w:val="nil"/>
              <w:left w:val="nil"/>
              <w:bottom w:val="single" w:color="auto" w:sz="4" w:space="0"/>
              <w:right w:val="single" w:color="auto" w:sz="4" w:space="0"/>
            </w:tcBorders>
            <w:noWrap/>
            <w:vAlign w:val="center"/>
          </w:tcPr>
          <w:p w14:paraId="6CD5C8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80</w:t>
            </w:r>
          </w:p>
        </w:tc>
      </w:tr>
      <w:tr w14:paraId="42B3AD34">
        <w:tblPrEx>
          <w:tblCellMar>
            <w:top w:w="0" w:type="dxa"/>
            <w:left w:w="108" w:type="dxa"/>
            <w:bottom w:w="0" w:type="dxa"/>
            <w:right w:w="108" w:type="dxa"/>
          </w:tblCellMar>
        </w:tblPrEx>
        <w:trPr>
          <w:trHeight w:val="765" w:hRule="atLeast"/>
        </w:trPr>
        <w:tc>
          <w:tcPr>
            <w:tcW w:w="648" w:type="dxa"/>
            <w:tcBorders>
              <w:top w:val="nil"/>
              <w:left w:val="single" w:color="auto" w:sz="4" w:space="0"/>
              <w:bottom w:val="single" w:color="auto" w:sz="4" w:space="0"/>
              <w:right w:val="single" w:color="auto" w:sz="4" w:space="0"/>
            </w:tcBorders>
            <w:noWrap/>
            <w:vAlign w:val="center"/>
          </w:tcPr>
          <w:p w14:paraId="0848FDD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1445" w:type="dxa"/>
            <w:tcBorders>
              <w:top w:val="nil"/>
              <w:left w:val="nil"/>
              <w:bottom w:val="single" w:color="auto" w:sz="4" w:space="0"/>
              <w:right w:val="single" w:color="auto" w:sz="4" w:space="0"/>
            </w:tcBorders>
            <w:noWrap/>
            <w:vAlign w:val="center"/>
          </w:tcPr>
          <w:p w14:paraId="798D1FF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4"/>
                <w:sz w:val="21"/>
                <w:szCs w:val="21"/>
              </w:rPr>
              <w:t>低压电器与PLC编程</w:t>
            </w:r>
          </w:p>
        </w:tc>
        <w:tc>
          <w:tcPr>
            <w:tcW w:w="6743" w:type="dxa"/>
            <w:tcBorders>
              <w:top w:val="nil"/>
              <w:left w:val="nil"/>
              <w:bottom w:val="single" w:color="auto" w:sz="4" w:space="0"/>
              <w:right w:val="single" w:color="auto" w:sz="4" w:space="0"/>
            </w:tcBorders>
            <w:noWrap/>
            <w:vAlign w:val="center"/>
          </w:tcPr>
          <w:p w14:paraId="7F62F84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1、掌握低压电器的基本知识、电气控制线路的原理和设计方法，理解PLC的工作原理、硬件结构和软件系统，熟悉PLC的编程语言和指令系统。</w:t>
            </w:r>
          </w:p>
          <w:p w14:paraId="26DD0D8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2、能够正确选择和使用低压电器，设计和安装基本的电气控制线路。能熟练运用PLC编程语言进行程序设计，实现各种控制任务，并具备对PLC控制系统进行调试、维护和故障排除的能力。</w:t>
            </w:r>
          </w:p>
          <w:p w14:paraId="03BE67E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3、培养学生的工程实践能力、创新能力和团队协作精神，使学生具备严谨的科学态度和安全生产意识，能够适应工业自动化领域的发展需求。</w:t>
            </w:r>
          </w:p>
        </w:tc>
        <w:tc>
          <w:tcPr>
            <w:tcW w:w="812" w:type="dxa"/>
            <w:tcBorders>
              <w:top w:val="nil"/>
              <w:left w:val="nil"/>
              <w:bottom w:val="single" w:color="auto" w:sz="4" w:space="0"/>
              <w:right w:val="single" w:color="auto" w:sz="4" w:space="0"/>
            </w:tcBorders>
            <w:noWrap/>
            <w:vAlign w:val="center"/>
          </w:tcPr>
          <w:p w14:paraId="258ECF7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80</w:t>
            </w:r>
          </w:p>
        </w:tc>
      </w:tr>
      <w:tr w14:paraId="78878B7E">
        <w:tblPrEx>
          <w:tblCellMar>
            <w:top w:w="0" w:type="dxa"/>
            <w:left w:w="108" w:type="dxa"/>
            <w:bottom w:w="0" w:type="dxa"/>
            <w:right w:w="108" w:type="dxa"/>
          </w:tblCellMar>
        </w:tblPrEx>
        <w:trPr>
          <w:trHeight w:val="1133" w:hRule="atLeast"/>
        </w:trPr>
        <w:tc>
          <w:tcPr>
            <w:tcW w:w="648" w:type="dxa"/>
            <w:tcBorders>
              <w:top w:val="single" w:color="auto" w:sz="4" w:space="0"/>
              <w:left w:val="single" w:color="auto" w:sz="4" w:space="0"/>
              <w:bottom w:val="single" w:color="auto" w:sz="4" w:space="0"/>
              <w:right w:val="single" w:color="auto" w:sz="4" w:space="0"/>
            </w:tcBorders>
            <w:noWrap/>
            <w:vAlign w:val="center"/>
          </w:tcPr>
          <w:p w14:paraId="2298B9F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1445" w:type="dxa"/>
            <w:tcBorders>
              <w:top w:val="single" w:color="auto" w:sz="4" w:space="0"/>
              <w:left w:val="single" w:color="auto" w:sz="4" w:space="0"/>
              <w:bottom w:val="single" w:color="auto" w:sz="4" w:space="0"/>
              <w:right w:val="single" w:color="auto" w:sz="4" w:space="0"/>
            </w:tcBorders>
            <w:noWrap/>
            <w:vAlign w:val="top"/>
          </w:tcPr>
          <w:p w14:paraId="41F7952F">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pacing w:val="-1"/>
                <w:sz w:val="21"/>
                <w:szCs w:val="21"/>
              </w:rPr>
            </w:pPr>
          </w:p>
          <w:p w14:paraId="6AC79FEC">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pacing w:val="-1"/>
                <w:sz w:val="21"/>
                <w:szCs w:val="21"/>
              </w:rPr>
            </w:pPr>
          </w:p>
          <w:p w14:paraId="2943F0AE">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1"/>
                <w:sz w:val="21"/>
                <w:szCs w:val="21"/>
              </w:rPr>
              <w:t>典型机电设备安装</w:t>
            </w:r>
            <w:r>
              <w:rPr>
                <w:rFonts w:hint="eastAsia" w:ascii="宋体" w:hAnsi="宋体" w:eastAsia="宋体" w:cs="宋体"/>
                <w:sz w:val="21"/>
                <w:szCs w:val="21"/>
              </w:rPr>
              <w:t>与调试</w:t>
            </w:r>
          </w:p>
        </w:tc>
        <w:tc>
          <w:tcPr>
            <w:tcW w:w="6743" w:type="dxa"/>
            <w:tcBorders>
              <w:top w:val="single" w:color="auto" w:sz="4" w:space="0"/>
              <w:left w:val="single" w:color="auto" w:sz="4" w:space="0"/>
              <w:bottom w:val="single" w:color="auto" w:sz="4" w:space="0"/>
              <w:right w:val="single" w:color="auto" w:sz="4" w:space="0"/>
            </w:tcBorders>
            <w:noWrap/>
            <w:vAlign w:val="top"/>
          </w:tcPr>
          <w:p w14:paraId="4786616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1、掌握机电设备安装与调试的基本理论知识，熟悉相关的规范和标准。了解机械、电气、液压与气动等各部分的工作原理和相互关系。</w:t>
            </w:r>
          </w:p>
          <w:p w14:paraId="7F4F731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2、具备正确安装机电设备各部分的能力，能够按照规范进行设备的定位、找平、装配、接线等操作。能熟练进行机电设备的调试工作，准确调整设备的参数，及时发现并解决调试过程中出现的问题。</w:t>
            </w:r>
          </w:p>
          <w:p w14:paraId="7222C11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pacing w:val="-6"/>
                <w:sz w:val="21"/>
                <w:szCs w:val="21"/>
              </w:rPr>
            </w:pPr>
            <w:r>
              <w:rPr>
                <w:rFonts w:hint="eastAsia" w:ascii="宋体" w:hAnsi="宋体" w:eastAsia="宋体" w:cs="宋体"/>
                <w:sz w:val="21"/>
                <w:szCs w:val="21"/>
              </w:rPr>
              <w:t>3、培养学生严谨的工作态度和良好的职业素养，使其具备安全生产意识和团队协作精神。同时，提高学生的创新能力和解决实际问题的能力，以适应机电设备安装与调试工作的实际需求。</w:t>
            </w:r>
          </w:p>
        </w:tc>
        <w:tc>
          <w:tcPr>
            <w:tcW w:w="812" w:type="dxa"/>
            <w:tcBorders>
              <w:top w:val="single" w:color="auto" w:sz="4" w:space="0"/>
              <w:left w:val="single" w:color="auto" w:sz="4" w:space="0"/>
              <w:bottom w:val="single" w:color="auto" w:sz="4" w:space="0"/>
              <w:right w:val="single" w:color="auto" w:sz="4" w:space="0"/>
            </w:tcBorders>
            <w:noWrap/>
            <w:vAlign w:val="center"/>
          </w:tcPr>
          <w:p w14:paraId="4FEE469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40</w:t>
            </w:r>
          </w:p>
        </w:tc>
      </w:tr>
      <w:tr w14:paraId="588148B0">
        <w:tblPrEx>
          <w:tblCellMar>
            <w:top w:w="0" w:type="dxa"/>
            <w:left w:w="108" w:type="dxa"/>
            <w:bottom w:w="0" w:type="dxa"/>
            <w:right w:w="108" w:type="dxa"/>
          </w:tblCellMar>
        </w:tblPrEx>
        <w:trPr>
          <w:trHeight w:val="309" w:hRule="atLeast"/>
        </w:trPr>
        <w:tc>
          <w:tcPr>
            <w:tcW w:w="648" w:type="dxa"/>
            <w:tcBorders>
              <w:top w:val="single" w:color="auto" w:sz="4" w:space="0"/>
              <w:left w:val="single" w:color="auto" w:sz="4" w:space="0"/>
              <w:bottom w:val="single" w:color="auto" w:sz="4" w:space="0"/>
              <w:right w:val="single" w:color="auto" w:sz="4" w:space="0"/>
            </w:tcBorders>
            <w:noWrap/>
            <w:vAlign w:val="center"/>
          </w:tcPr>
          <w:p w14:paraId="789A737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1445" w:type="dxa"/>
            <w:tcBorders>
              <w:top w:val="single" w:color="auto" w:sz="4" w:space="0"/>
              <w:left w:val="single" w:color="auto" w:sz="4" w:space="0"/>
              <w:bottom w:val="single" w:color="auto" w:sz="4" w:space="0"/>
              <w:right w:val="single" w:color="auto" w:sz="4" w:space="0"/>
            </w:tcBorders>
            <w:noWrap/>
            <w:vAlign w:val="top"/>
          </w:tcPr>
          <w:p w14:paraId="2F2A901A">
            <w:pPr>
              <w:pStyle w:val="5"/>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pacing w:val="-1"/>
                <w:sz w:val="21"/>
                <w:szCs w:val="21"/>
              </w:rPr>
            </w:pPr>
          </w:p>
          <w:p w14:paraId="414DDD8D">
            <w:pPr>
              <w:pStyle w:val="5"/>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pacing w:val="-1"/>
                <w:sz w:val="21"/>
                <w:szCs w:val="21"/>
              </w:rPr>
              <w:t>电机与变</w:t>
            </w:r>
            <w:r>
              <w:rPr>
                <w:rFonts w:hint="eastAsia" w:ascii="宋体" w:hAnsi="宋体" w:eastAsia="宋体" w:cs="宋体"/>
                <w:sz w:val="21"/>
                <w:szCs w:val="21"/>
              </w:rPr>
              <w:t>压器</w:t>
            </w:r>
          </w:p>
        </w:tc>
        <w:tc>
          <w:tcPr>
            <w:tcW w:w="6743" w:type="dxa"/>
            <w:tcBorders>
              <w:top w:val="single" w:color="auto" w:sz="4" w:space="0"/>
              <w:left w:val="single" w:color="auto" w:sz="4" w:space="0"/>
              <w:bottom w:val="single" w:color="auto" w:sz="4" w:space="0"/>
              <w:right w:val="single" w:color="auto" w:sz="4" w:space="0"/>
            </w:tcBorders>
            <w:noWrap/>
            <w:vAlign w:val="top"/>
          </w:tcPr>
          <w:p w14:paraId="4C06EBF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1、掌握电机与变压器的基本结构、工作原理和运行特性，理解磁路和电磁感应等相关知识，熟悉电机与变压器的性能参数和技术指标。</w:t>
            </w:r>
          </w:p>
          <w:p w14:paraId="3065C71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2、能够运用所学知识分析电机与变压器的运行状态和性能特点，具备选择合适电机与变压器的能力，以及对电机与变压器进行简单维护和故障分析的能力。</w:t>
            </w:r>
          </w:p>
          <w:p w14:paraId="357BF62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3、培养学生的工程思维能力和实践能力，提高学生分析问题和解决问题的能力，使其具备严谨的科学态度和良好的职业素养。</w:t>
            </w:r>
          </w:p>
        </w:tc>
        <w:tc>
          <w:tcPr>
            <w:tcW w:w="812" w:type="dxa"/>
            <w:tcBorders>
              <w:top w:val="single" w:color="auto" w:sz="4" w:space="0"/>
              <w:left w:val="single" w:color="auto" w:sz="4" w:space="0"/>
              <w:bottom w:val="single" w:color="auto" w:sz="4" w:space="0"/>
              <w:right w:val="single" w:color="auto" w:sz="4" w:space="0"/>
            </w:tcBorders>
            <w:noWrap/>
            <w:vAlign w:val="center"/>
          </w:tcPr>
          <w:p w14:paraId="7B7C47F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80</w:t>
            </w:r>
          </w:p>
        </w:tc>
      </w:tr>
    </w:tbl>
    <w:p w14:paraId="2CEB270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2.专业技能选修课程</w:t>
      </w:r>
    </w:p>
    <w:tbl>
      <w:tblPr>
        <w:tblStyle w:val="9"/>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81"/>
        <w:gridCol w:w="6662"/>
        <w:gridCol w:w="797"/>
      </w:tblGrid>
      <w:tr w14:paraId="2F52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720" w:type="dxa"/>
            <w:noWrap w:val="0"/>
            <w:vAlign w:val="center"/>
          </w:tcPr>
          <w:p w14:paraId="13D6450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481" w:type="dxa"/>
            <w:noWrap w:val="0"/>
            <w:vAlign w:val="center"/>
          </w:tcPr>
          <w:p w14:paraId="24504BC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6662" w:type="dxa"/>
            <w:noWrap w:val="0"/>
            <w:vAlign w:val="center"/>
          </w:tcPr>
          <w:p w14:paraId="269FDF7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主要教学内容和要求</w:t>
            </w:r>
          </w:p>
        </w:tc>
        <w:tc>
          <w:tcPr>
            <w:tcW w:w="797" w:type="dxa"/>
            <w:noWrap w:val="0"/>
            <w:vAlign w:val="center"/>
          </w:tcPr>
          <w:p w14:paraId="78438D9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参考</w:t>
            </w:r>
          </w:p>
          <w:p w14:paraId="5688679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学时</w:t>
            </w:r>
          </w:p>
        </w:tc>
      </w:tr>
      <w:tr w14:paraId="48553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720" w:type="dxa"/>
            <w:noWrap w:val="0"/>
            <w:vAlign w:val="center"/>
          </w:tcPr>
          <w:p w14:paraId="78077352">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481" w:type="dxa"/>
            <w:noWrap w:val="0"/>
            <w:vAlign w:val="center"/>
          </w:tcPr>
          <w:p w14:paraId="346F39FA">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自动化生产线安装与调试</w:t>
            </w:r>
          </w:p>
        </w:tc>
        <w:tc>
          <w:tcPr>
            <w:tcW w:w="6662" w:type="dxa"/>
            <w:noWrap w:val="0"/>
            <w:vAlign w:val="top"/>
          </w:tcPr>
          <w:p w14:paraId="1432A6D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1、掌握自动化生产线的基本理论知识，熟悉机械、电气、气动和液压等各系统的工作原理和相互关系，了解相关的国家标准和行业规范。</w:t>
            </w:r>
          </w:p>
          <w:p w14:paraId="575BBB4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2、能够根据自动化生产线的设计要求，进行机械系统、电气控制系统、气动与液压系统的安装与调试。具备对自动化生产线进行运行监控、故障诊断和排除的能力，能够优化生产线的运行性能。</w:t>
            </w:r>
          </w:p>
          <w:p w14:paraId="0888F3C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3、培养学生的工程实践能力、创新能力和团队协作精神，使其具备严谨的科学态度和安全生产意识，能够适应自动化生产线安装与调试工作的实际需求。</w:t>
            </w:r>
          </w:p>
        </w:tc>
        <w:tc>
          <w:tcPr>
            <w:tcW w:w="797" w:type="dxa"/>
            <w:noWrap w:val="0"/>
            <w:vAlign w:val="center"/>
          </w:tcPr>
          <w:p w14:paraId="08F200F2">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sz w:val="21"/>
                <w:szCs w:val="21"/>
              </w:rPr>
              <w:t>80</w:t>
            </w:r>
          </w:p>
        </w:tc>
      </w:tr>
      <w:tr w14:paraId="71D2F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8" w:hRule="exact"/>
          <w:jc w:val="center"/>
        </w:trPr>
        <w:tc>
          <w:tcPr>
            <w:tcW w:w="720" w:type="dxa"/>
            <w:noWrap w:val="0"/>
            <w:vAlign w:val="center"/>
          </w:tcPr>
          <w:p w14:paraId="4D008F49">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481" w:type="dxa"/>
            <w:noWrap w:val="0"/>
            <w:vAlign w:val="center"/>
          </w:tcPr>
          <w:p w14:paraId="328843A3">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工厂供电</w:t>
            </w:r>
          </w:p>
        </w:tc>
        <w:tc>
          <w:tcPr>
            <w:tcW w:w="6662" w:type="dxa"/>
            <w:noWrap w:val="0"/>
            <w:vAlign w:val="top"/>
          </w:tcPr>
          <w:p w14:paraId="16864F8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1、掌握工厂供电系统的基本理论和基本知识，包括电力负荷计算、电气设备选型、继电保护配置等。</w:t>
            </w:r>
          </w:p>
          <w:p w14:paraId="76945FA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2、培养学生具备对工厂供电系统进行初步设计、运行维护和故障分析处理的能力。</w:t>
            </w:r>
          </w:p>
          <w:p w14:paraId="0A4C5AD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3、通过实验、课程设计等实践教学环节，使学生掌握工厂供电系统中常用电气设备的操作方法和测试技能。</w:t>
            </w:r>
          </w:p>
          <w:p w14:paraId="175F9E4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4、熟悉工厂供电相关的国家标准和行业规范，能够在实际工作中遵循规范进行设计和施工。</w:t>
            </w:r>
          </w:p>
          <w:p w14:paraId="03F61DA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5、安全用电的重要性，培养学生在工厂供电系统的设计、运行和维护过程中的安全意识和责任感。</w:t>
            </w:r>
          </w:p>
          <w:p w14:paraId="0AC511EA">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08" w:firstLineChars="147"/>
              <w:rPr>
                <w:rFonts w:hint="eastAsia" w:ascii="宋体" w:hAnsi="宋体" w:eastAsia="宋体" w:cs="宋体"/>
                <w:sz w:val="21"/>
                <w:szCs w:val="21"/>
              </w:rPr>
            </w:pPr>
          </w:p>
        </w:tc>
        <w:tc>
          <w:tcPr>
            <w:tcW w:w="797" w:type="dxa"/>
            <w:noWrap w:val="0"/>
            <w:vAlign w:val="center"/>
          </w:tcPr>
          <w:p w14:paraId="4B9F4605">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both"/>
              <w:rPr>
                <w:rFonts w:hint="eastAsia" w:ascii="宋体" w:hAnsi="宋体" w:eastAsia="宋体" w:cs="宋体"/>
                <w:sz w:val="21"/>
                <w:szCs w:val="21"/>
              </w:rPr>
            </w:pPr>
            <w:r>
              <w:rPr>
                <w:rFonts w:hint="eastAsia" w:ascii="宋体" w:hAnsi="宋体" w:eastAsia="宋体" w:cs="宋体"/>
                <w:sz w:val="21"/>
                <w:szCs w:val="21"/>
              </w:rPr>
              <w:t>80</w:t>
            </w:r>
          </w:p>
        </w:tc>
      </w:tr>
      <w:tr w14:paraId="1C8B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8" w:hRule="exact"/>
          <w:jc w:val="center"/>
        </w:trPr>
        <w:tc>
          <w:tcPr>
            <w:tcW w:w="720" w:type="dxa"/>
            <w:noWrap w:val="0"/>
            <w:vAlign w:val="center"/>
          </w:tcPr>
          <w:p w14:paraId="074E4E19">
            <w:pPr>
              <w:pStyle w:val="1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481" w:type="dxa"/>
            <w:noWrap w:val="0"/>
            <w:vAlign w:val="center"/>
          </w:tcPr>
          <w:p w14:paraId="72374F0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lang w:bidi="ar"/>
              </w:rPr>
              <w:t>数控加工与编程</w:t>
            </w:r>
          </w:p>
        </w:tc>
        <w:tc>
          <w:tcPr>
            <w:tcW w:w="6662" w:type="dxa"/>
            <w:noWrap w:val="0"/>
            <w:vAlign w:val="top"/>
          </w:tcPr>
          <w:p w14:paraId="114A7E0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1、掌握数控车床的基本结构和工作原理，熟悉数控编程的基本概念和指令系统，理解零件工艺分析的方法和刀具补偿原理。</w:t>
            </w:r>
          </w:p>
          <w:p w14:paraId="5E45F43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2、能够根据零件图纸进行工艺分析，编制合理的数控车削加工程序；熟练操作数控车床，完成零件的加工，并达到一定的加工精度和表面质量要求；具备对数控车床常见故障进行诊断和排除的初步能力。</w:t>
            </w:r>
          </w:p>
          <w:p w14:paraId="03E4733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3、培养学生严谨的工作态度、安全生产意识和质量意识，提高学生的职业素养和创新能力，使其具备良好的团队协作精神和沟通能力，能够适应数控加工领域的工作要求。</w:t>
            </w:r>
          </w:p>
        </w:tc>
        <w:tc>
          <w:tcPr>
            <w:tcW w:w="797" w:type="dxa"/>
            <w:noWrap w:val="0"/>
            <w:vAlign w:val="center"/>
          </w:tcPr>
          <w:p w14:paraId="76ADD62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rPr>
              <w:t>80</w:t>
            </w:r>
          </w:p>
        </w:tc>
      </w:tr>
    </w:tbl>
    <w:p w14:paraId="79621754">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sz w:val="24"/>
          <w:szCs w:val="24"/>
        </w:rPr>
        <w:t xml:space="preserve">  </w:t>
      </w:r>
    </w:p>
    <w:p w14:paraId="71517446">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15" w:name="_Toc15967"/>
      <w:r>
        <w:rPr>
          <w:rFonts w:hint="eastAsia" w:ascii="宋体" w:hAnsi="宋体" w:eastAsia="宋体" w:cs="宋体"/>
          <w:b/>
          <w:sz w:val="24"/>
          <w:szCs w:val="24"/>
        </w:rPr>
        <w:t>七、 教学进程总体安排</w:t>
      </w:r>
      <w:bookmarkEnd w:id="15"/>
    </w:p>
    <w:tbl>
      <w:tblPr>
        <w:tblStyle w:val="9"/>
        <w:tblW w:w="10290" w:type="dxa"/>
        <w:jc w:val="center"/>
        <w:tblLayout w:type="autofit"/>
        <w:tblCellMar>
          <w:top w:w="0" w:type="dxa"/>
          <w:left w:w="0" w:type="dxa"/>
          <w:bottom w:w="0" w:type="dxa"/>
          <w:right w:w="0" w:type="dxa"/>
        </w:tblCellMar>
      </w:tblPr>
      <w:tblGrid>
        <w:gridCol w:w="570"/>
        <w:gridCol w:w="585"/>
        <w:gridCol w:w="435"/>
        <w:gridCol w:w="2254"/>
        <w:gridCol w:w="442"/>
        <w:gridCol w:w="540"/>
        <w:gridCol w:w="409"/>
        <w:gridCol w:w="540"/>
        <w:gridCol w:w="525"/>
        <w:gridCol w:w="514"/>
        <w:gridCol w:w="581"/>
        <w:gridCol w:w="525"/>
        <w:gridCol w:w="600"/>
        <w:gridCol w:w="555"/>
        <w:gridCol w:w="600"/>
        <w:gridCol w:w="615"/>
      </w:tblGrid>
      <w:tr w14:paraId="6DBF8EEC">
        <w:trPr>
          <w:trHeight w:val="375" w:hRule="atLeast"/>
          <w:tblHeader/>
          <w:jc w:val="center"/>
        </w:trPr>
        <w:tc>
          <w:tcPr>
            <w:tcW w:w="57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DA15B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课程</w:t>
            </w:r>
          </w:p>
          <w:p w14:paraId="6C7341E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性质</w:t>
            </w: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E6643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课程</w:t>
            </w:r>
          </w:p>
          <w:p w14:paraId="57049EC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性质</w:t>
            </w:r>
          </w:p>
        </w:tc>
        <w:tc>
          <w:tcPr>
            <w:tcW w:w="2689" w:type="dxa"/>
            <w:gridSpan w:val="2"/>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D9F3D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课程名称</w:t>
            </w:r>
          </w:p>
        </w:tc>
        <w:tc>
          <w:tcPr>
            <w:tcW w:w="442"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C6BE37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课</w:t>
            </w:r>
          </w:p>
          <w:p w14:paraId="18C77BE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程</w:t>
            </w:r>
          </w:p>
          <w:p w14:paraId="19AD7CA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类</w:t>
            </w:r>
          </w:p>
          <w:p w14:paraId="56CDEDB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型</w:t>
            </w:r>
          </w:p>
        </w:tc>
        <w:tc>
          <w:tcPr>
            <w:tcW w:w="54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B905E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考</w:t>
            </w:r>
          </w:p>
          <w:p w14:paraId="61D8DA6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试</w:t>
            </w:r>
          </w:p>
          <w:p w14:paraId="4ED9A7A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考</w:t>
            </w:r>
          </w:p>
          <w:p w14:paraId="4CC55C6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查</w:t>
            </w:r>
          </w:p>
        </w:tc>
        <w:tc>
          <w:tcPr>
            <w:tcW w:w="40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A4897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学</w:t>
            </w:r>
          </w:p>
          <w:p w14:paraId="2D9CAC2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 </w:t>
            </w:r>
          </w:p>
          <w:p w14:paraId="57194B0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分</w:t>
            </w:r>
          </w:p>
        </w:tc>
        <w:tc>
          <w:tcPr>
            <w:tcW w:w="54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5C2DF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总</w:t>
            </w:r>
          </w:p>
          <w:p w14:paraId="60CE1F3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学</w:t>
            </w:r>
          </w:p>
          <w:p w14:paraId="39EC1EF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时</w:t>
            </w:r>
          </w:p>
        </w:tc>
        <w:tc>
          <w:tcPr>
            <w:tcW w:w="52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5B1B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理</w:t>
            </w:r>
          </w:p>
          <w:p w14:paraId="35BB922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论</w:t>
            </w:r>
          </w:p>
          <w:p w14:paraId="00B9A56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课</w:t>
            </w:r>
          </w:p>
          <w:p w14:paraId="56C87B2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时</w:t>
            </w:r>
          </w:p>
        </w:tc>
        <w:tc>
          <w:tcPr>
            <w:tcW w:w="514"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0B128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实</w:t>
            </w:r>
          </w:p>
          <w:p w14:paraId="1EBF1D0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践</w:t>
            </w:r>
          </w:p>
          <w:p w14:paraId="3A8AE30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课</w:t>
            </w:r>
          </w:p>
          <w:p w14:paraId="09CB26F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时</w:t>
            </w:r>
          </w:p>
        </w:tc>
        <w:tc>
          <w:tcPr>
            <w:tcW w:w="3476" w:type="dxa"/>
            <w:gridSpan w:val="6"/>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7FCA5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开课学期与教学周数、周学时</w:t>
            </w:r>
          </w:p>
        </w:tc>
      </w:tr>
      <w:tr w14:paraId="6B2DE2F9">
        <w:tblPrEx>
          <w:tblCellMar>
            <w:top w:w="0" w:type="dxa"/>
            <w:left w:w="0" w:type="dxa"/>
            <w:bottom w:w="0" w:type="dxa"/>
            <w:right w:w="0" w:type="dxa"/>
          </w:tblCellMar>
        </w:tblPrEx>
        <w:trPr>
          <w:trHeight w:val="375" w:hRule="atLeast"/>
          <w:tblHeader/>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3F73C7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99FB05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A4BEA2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42" w:type="dxa"/>
            <w:vMerge w:val="continue"/>
            <w:tcBorders>
              <w:top w:val="single" w:color="auto" w:sz="4" w:space="0"/>
              <w:left w:val="single" w:color="auto" w:sz="4" w:space="0"/>
              <w:bottom w:val="single" w:color="auto" w:sz="4" w:space="0"/>
              <w:right w:val="single" w:color="auto" w:sz="4" w:space="0"/>
            </w:tcBorders>
            <w:noWrap w:val="0"/>
            <w:vAlign w:val="center"/>
          </w:tcPr>
          <w:p w14:paraId="2A56339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3EFD8FB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09" w:type="dxa"/>
            <w:vMerge w:val="continue"/>
            <w:tcBorders>
              <w:top w:val="single" w:color="auto" w:sz="4" w:space="0"/>
              <w:left w:val="single" w:color="auto" w:sz="4" w:space="0"/>
              <w:bottom w:val="single" w:color="auto" w:sz="4" w:space="0"/>
              <w:right w:val="single" w:color="auto" w:sz="4" w:space="0"/>
            </w:tcBorders>
            <w:noWrap w:val="0"/>
            <w:vAlign w:val="center"/>
          </w:tcPr>
          <w:p w14:paraId="17002FC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166DA27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25" w:type="dxa"/>
            <w:vMerge w:val="continue"/>
            <w:tcBorders>
              <w:top w:val="single" w:color="auto" w:sz="4" w:space="0"/>
              <w:left w:val="single" w:color="auto" w:sz="4" w:space="0"/>
              <w:bottom w:val="single" w:color="auto" w:sz="4" w:space="0"/>
              <w:right w:val="single" w:color="auto" w:sz="4" w:space="0"/>
            </w:tcBorders>
            <w:noWrap w:val="0"/>
            <w:vAlign w:val="center"/>
          </w:tcPr>
          <w:p w14:paraId="4569953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14" w:type="dxa"/>
            <w:vMerge w:val="continue"/>
            <w:tcBorders>
              <w:top w:val="single" w:color="auto" w:sz="4" w:space="0"/>
              <w:left w:val="single" w:color="auto" w:sz="4" w:space="0"/>
              <w:bottom w:val="single" w:color="auto" w:sz="4" w:space="0"/>
              <w:right w:val="single" w:color="auto" w:sz="4" w:space="0"/>
            </w:tcBorders>
            <w:noWrap w:val="0"/>
            <w:vAlign w:val="center"/>
          </w:tcPr>
          <w:p w14:paraId="0541948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3476" w:type="dxa"/>
            <w:gridSpan w:val="6"/>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998A9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学   期</w:t>
            </w:r>
          </w:p>
        </w:tc>
      </w:tr>
      <w:tr w14:paraId="034EFF18">
        <w:tblPrEx>
          <w:tblCellMar>
            <w:top w:w="0" w:type="dxa"/>
            <w:left w:w="0" w:type="dxa"/>
            <w:bottom w:w="0" w:type="dxa"/>
            <w:right w:w="0" w:type="dxa"/>
          </w:tblCellMar>
        </w:tblPrEx>
        <w:trPr>
          <w:trHeight w:val="375" w:hRule="atLeast"/>
          <w:tblHeader/>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463F25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CF3E68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CC7A40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42" w:type="dxa"/>
            <w:vMerge w:val="continue"/>
            <w:tcBorders>
              <w:top w:val="single" w:color="auto" w:sz="4" w:space="0"/>
              <w:left w:val="single" w:color="auto" w:sz="4" w:space="0"/>
              <w:bottom w:val="single" w:color="auto" w:sz="4" w:space="0"/>
              <w:right w:val="single" w:color="auto" w:sz="4" w:space="0"/>
            </w:tcBorders>
            <w:noWrap w:val="0"/>
            <w:vAlign w:val="center"/>
          </w:tcPr>
          <w:p w14:paraId="3E44D48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5AE84A2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09" w:type="dxa"/>
            <w:vMerge w:val="continue"/>
            <w:tcBorders>
              <w:top w:val="single" w:color="auto" w:sz="4" w:space="0"/>
              <w:left w:val="single" w:color="auto" w:sz="4" w:space="0"/>
              <w:bottom w:val="single" w:color="auto" w:sz="4" w:space="0"/>
              <w:right w:val="single" w:color="auto" w:sz="4" w:space="0"/>
            </w:tcBorders>
            <w:noWrap w:val="0"/>
            <w:vAlign w:val="center"/>
          </w:tcPr>
          <w:p w14:paraId="4B952DA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097F76C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25" w:type="dxa"/>
            <w:vMerge w:val="continue"/>
            <w:tcBorders>
              <w:top w:val="single" w:color="auto" w:sz="4" w:space="0"/>
              <w:left w:val="single" w:color="auto" w:sz="4" w:space="0"/>
              <w:bottom w:val="single" w:color="auto" w:sz="4" w:space="0"/>
              <w:right w:val="single" w:color="auto" w:sz="4" w:space="0"/>
            </w:tcBorders>
            <w:noWrap w:val="0"/>
            <w:vAlign w:val="center"/>
          </w:tcPr>
          <w:p w14:paraId="29EDC5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14" w:type="dxa"/>
            <w:vMerge w:val="continue"/>
            <w:tcBorders>
              <w:top w:val="single" w:color="auto" w:sz="4" w:space="0"/>
              <w:left w:val="single" w:color="auto" w:sz="4" w:space="0"/>
              <w:bottom w:val="single" w:color="auto" w:sz="4" w:space="0"/>
              <w:right w:val="single" w:color="auto" w:sz="4" w:space="0"/>
            </w:tcBorders>
            <w:noWrap w:val="0"/>
            <w:vAlign w:val="center"/>
          </w:tcPr>
          <w:p w14:paraId="1B8F0CA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CA1577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一</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8AA1B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二</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A064C3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三</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282EE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四</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1CCC1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五</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7D4730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六</w:t>
            </w:r>
          </w:p>
        </w:tc>
      </w:tr>
      <w:tr w14:paraId="3CBD521B">
        <w:tblPrEx>
          <w:tblCellMar>
            <w:top w:w="0" w:type="dxa"/>
            <w:left w:w="0" w:type="dxa"/>
            <w:bottom w:w="0" w:type="dxa"/>
            <w:right w:w="0" w:type="dxa"/>
          </w:tblCellMar>
        </w:tblPrEx>
        <w:trPr>
          <w:trHeight w:val="375" w:hRule="atLeast"/>
          <w:tblHeader/>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DB9929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490138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49C91A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42" w:type="dxa"/>
            <w:vMerge w:val="continue"/>
            <w:tcBorders>
              <w:top w:val="single" w:color="auto" w:sz="4" w:space="0"/>
              <w:left w:val="single" w:color="auto" w:sz="4" w:space="0"/>
              <w:bottom w:val="single" w:color="auto" w:sz="4" w:space="0"/>
              <w:right w:val="single" w:color="auto" w:sz="4" w:space="0"/>
            </w:tcBorders>
            <w:noWrap w:val="0"/>
            <w:vAlign w:val="center"/>
          </w:tcPr>
          <w:p w14:paraId="1F6D462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2F4B61C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09" w:type="dxa"/>
            <w:vMerge w:val="continue"/>
            <w:tcBorders>
              <w:top w:val="single" w:color="auto" w:sz="4" w:space="0"/>
              <w:left w:val="single" w:color="auto" w:sz="4" w:space="0"/>
              <w:bottom w:val="single" w:color="auto" w:sz="4" w:space="0"/>
              <w:right w:val="single" w:color="auto" w:sz="4" w:space="0"/>
            </w:tcBorders>
            <w:noWrap w:val="0"/>
            <w:vAlign w:val="center"/>
          </w:tcPr>
          <w:p w14:paraId="7E1220E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1E3DB20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25" w:type="dxa"/>
            <w:vMerge w:val="continue"/>
            <w:tcBorders>
              <w:top w:val="single" w:color="auto" w:sz="4" w:space="0"/>
              <w:left w:val="single" w:color="auto" w:sz="4" w:space="0"/>
              <w:bottom w:val="single" w:color="auto" w:sz="4" w:space="0"/>
              <w:right w:val="single" w:color="auto" w:sz="4" w:space="0"/>
            </w:tcBorders>
            <w:noWrap w:val="0"/>
            <w:vAlign w:val="center"/>
          </w:tcPr>
          <w:p w14:paraId="7F6CD70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14" w:type="dxa"/>
            <w:vMerge w:val="continue"/>
            <w:tcBorders>
              <w:top w:val="single" w:color="auto" w:sz="4" w:space="0"/>
              <w:left w:val="single" w:color="auto" w:sz="4" w:space="0"/>
              <w:bottom w:val="single" w:color="auto" w:sz="4" w:space="0"/>
              <w:right w:val="single" w:color="auto" w:sz="4" w:space="0"/>
            </w:tcBorders>
            <w:noWrap w:val="0"/>
            <w:vAlign w:val="center"/>
          </w:tcPr>
          <w:p w14:paraId="623B31A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271D21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20周</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D8DBD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20周</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65EFCE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20周</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BEFEB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20周</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FE703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20周</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2619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20周</w:t>
            </w:r>
          </w:p>
        </w:tc>
      </w:tr>
      <w:tr w14:paraId="000D85E6">
        <w:tblPrEx>
          <w:tblCellMar>
            <w:top w:w="0" w:type="dxa"/>
            <w:left w:w="0" w:type="dxa"/>
            <w:bottom w:w="0" w:type="dxa"/>
            <w:right w:w="0" w:type="dxa"/>
          </w:tblCellMar>
        </w:tblPrEx>
        <w:trPr>
          <w:trHeight w:val="217" w:hRule="atLeast"/>
          <w:jc w:val="center"/>
        </w:trPr>
        <w:tc>
          <w:tcPr>
            <w:tcW w:w="57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BB6812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Cs/>
                <w:color w:val="auto"/>
                <w:sz w:val="21"/>
                <w:szCs w:val="21"/>
              </w:rPr>
              <w:t>公共</w:t>
            </w:r>
          </w:p>
          <w:p w14:paraId="67029EC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Cs/>
                <w:color w:val="auto"/>
                <w:sz w:val="21"/>
                <w:szCs w:val="21"/>
              </w:rPr>
              <w:t>基础</w:t>
            </w:r>
          </w:p>
          <w:p w14:paraId="39F5E34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Cs/>
                <w:color w:val="auto"/>
                <w:sz w:val="21"/>
                <w:szCs w:val="21"/>
              </w:rPr>
              <w:t>课程</w:t>
            </w: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EC9F7B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文化</w:t>
            </w:r>
          </w:p>
          <w:p w14:paraId="497634A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课程</w:t>
            </w: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B0370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5515340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中国特色社会主义思想(含习近平新时代中国特色社会主义思想学生读本)</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8335D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7E15C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5B8F2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86C53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A3F3B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A815A8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7D20A5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183026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08C48A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A99CB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3A268A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2AC15C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8DFF73B">
        <w:tblPrEx>
          <w:tblCellMar>
            <w:top w:w="0" w:type="dxa"/>
            <w:left w:w="0" w:type="dxa"/>
            <w:bottom w:w="0" w:type="dxa"/>
            <w:right w:w="0" w:type="dxa"/>
          </w:tblCellMar>
        </w:tblPrEx>
        <w:trPr>
          <w:trHeight w:val="5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1AE655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CCBE7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49450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1A2D970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心理健康与职业生涯</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EC9365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116DA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91E2E8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E196C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2EAD9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372C3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C3BE3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52104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C202AD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B261B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8AAAC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4B17BA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72594E51">
        <w:tblPrEx>
          <w:tblCellMar>
            <w:top w:w="0" w:type="dxa"/>
            <w:left w:w="0" w:type="dxa"/>
            <w:bottom w:w="0" w:type="dxa"/>
            <w:right w:w="0" w:type="dxa"/>
          </w:tblCellMar>
        </w:tblPrEx>
        <w:trPr>
          <w:trHeight w:val="17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3FE199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5891A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5DC29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604DAC3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哲学与人生</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E9F1C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06675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CD465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76298C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53E1B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3F034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CEC10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C76E7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74234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8B214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C94760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7CBA7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2D6F206">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83C804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D657EE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F8ED09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75CED57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职业道德与法治</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39635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6D8AC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B961E6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11F079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F0EE3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02AA8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94A76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F8140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B8CBC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40D3A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7C125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D4174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1C05EE83">
        <w:tblPrEx>
          <w:tblCellMar>
            <w:top w:w="0" w:type="dxa"/>
            <w:left w:w="0" w:type="dxa"/>
            <w:bottom w:w="0" w:type="dxa"/>
            <w:right w:w="0" w:type="dxa"/>
          </w:tblCellMar>
        </w:tblPrEx>
        <w:trPr>
          <w:trHeight w:val="399"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031721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DCE21E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C628A7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2CA4458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语文</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21546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FECE3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30BB69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5AEDB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4584A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160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DA6B4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C5B447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19610E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4E7E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3436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2090C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E86E6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E58DEDA">
        <w:tblPrEx>
          <w:tblCellMar>
            <w:top w:w="0" w:type="dxa"/>
            <w:left w:w="0" w:type="dxa"/>
            <w:bottom w:w="0" w:type="dxa"/>
            <w:right w:w="0" w:type="dxa"/>
          </w:tblCellMar>
        </w:tblPrEx>
        <w:trPr>
          <w:trHeight w:val="33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D8A795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2762D3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6726F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483D9D5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数学</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FFC8E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C66C6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98B1B6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F9412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160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849B1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144</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43075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16</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F199B9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85109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4A52E1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478C6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F3688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AA04B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3707DDF3">
        <w:tblPrEx>
          <w:tblCellMar>
            <w:top w:w="0" w:type="dxa"/>
            <w:left w:w="0" w:type="dxa"/>
            <w:bottom w:w="0" w:type="dxa"/>
            <w:right w:w="0" w:type="dxa"/>
          </w:tblCellMar>
        </w:tblPrEx>
        <w:trPr>
          <w:trHeight w:val="40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521B5A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80756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0B1C7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0FF3323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英语</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9681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7DA955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AA48C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32D26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160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A8964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144</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60BE0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16</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6E1D2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D460A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D7B2B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4A222C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7D2BF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43446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1C144732">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CF51D1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5F1F4D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2D1AB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50E58EB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体育与健康</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6296E1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2EB43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6D8BD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CDD8E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160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BE94C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32</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EFE75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128</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EA323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C86B3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4CAC57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F89EAF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CCD1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29504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BE4B4D9">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DC2E1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F25029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12E8D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681DC51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计算机应用基础</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7C9E8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933F9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B2DC28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14584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AB38B3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DBD98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DC3E17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2231D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C1AF5F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5D8C1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8CB0D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DD507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7B7B2A87">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51A1A9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AE8014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BED91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781CBB0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艺术(音乐或美术)</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10E5E1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E1BA2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37E23C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691D8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14601D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81FE0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1E94F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E63C0F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91582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60EFF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0344B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CBB9D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B4E39AE">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3E62A0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BD49D7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FF04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5110EF0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中国历史</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BB6FA4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DA141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B3DAA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ABED01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FB11A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D99165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870B4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A7F4E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B5601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F039AB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AA6294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119727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6B1A19A">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DCED27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71FF7F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95C4AF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3AD1349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世界历史</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625BD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7667E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8E44A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32109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15B6EB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C8212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5A3C2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665DF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07232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C48BE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AD5217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55029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0B28B48">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29D9B2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6ABE53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8974F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7C957B2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物理</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07B8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0FD64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8DB1E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8B5D4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4A453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6F334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48194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E2C016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1CD8A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B3A088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8836CA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BF7C6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5D6A5114">
        <w:tblPrEx>
          <w:tblCellMar>
            <w:top w:w="0" w:type="dxa"/>
            <w:left w:w="0" w:type="dxa"/>
            <w:bottom w:w="0" w:type="dxa"/>
            <w:right w:w="0" w:type="dxa"/>
          </w:tblCellMar>
        </w:tblPrEx>
        <w:trPr>
          <w:trHeight w:val="27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5DB19F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922DB8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A55F4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3D07555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化学</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84041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2961E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DA241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3D375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3E3AA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BB2AF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ECE8A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2442C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3B1DF5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E7DAB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45DF06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8E901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1EC3640F">
        <w:tblPrEx>
          <w:tblCellMar>
            <w:top w:w="0" w:type="dxa"/>
            <w:left w:w="0" w:type="dxa"/>
            <w:bottom w:w="0" w:type="dxa"/>
            <w:right w:w="0" w:type="dxa"/>
          </w:tblCellMar>
        </w:tblPrEx>
        <w:trPr>
          <w:trHeight w:val="27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D82110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826881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47CEF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72E8F5B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安全教育</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F43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34687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A88EC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8067E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7506C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6FC5E1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4018A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ADB27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FF18E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A6578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FE9E1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4DFD1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5D933D94">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124DE9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64E9F5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5789D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7ECF6AB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劳动教育</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6E67C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62909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89875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58B02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48B66A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1E89E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644CA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7F502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168E02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7E2F68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9F136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C2045F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1C98DDD8">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E04934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256" w:type="dxa"/>
            <w:gridSpan w:val="5"/>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46060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color w:val="auto"/>
                <w:sz w:val="21"/>
                <w:szCs w:val="21"/>
                <w:lang w:bidi="ar"/>
              </w:rPr>
              <w:t>公共基础必修课小计</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4034C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66</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82C64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1320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5AEEB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916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05A69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404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ADD3A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sz w:val="21"/>
                <w:szCs w:val="21"/>
                <w:lang w:bidi="ar"/>
              </w:rPr>
              <w:t>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CB645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20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B66614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sz w:val="21"/>
                <w:szCs w:val="21"/>
                <w:lang w:bidi="ar"/>
              </w:rPr>
              <w:t>12</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3646C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b/>
                <w:bCs/>
                <w:color w:val="auto"/>
                <w:sz w:val="21"/>
                <w:szCs w:val="21"/>
                <w:lang w:bidi="ar"/>
              </w:rPr>
              <w:t>14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F8AC6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EC67B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5515C7D1">
        <w:tblPrEx>
          <w:tblCellMar>
            <w:top w:w="0" w:type="dxa"/>
            <w:left w:w="0" w:type="dxa"/>
            <w:bottom w:w="0" w:type="dxa"/>
            <w:right w:w="0" w:type="dxa"/>
          </w:tblCellMar>
        </w:tblPrEx>
        <w:trPr>
          <w:trHeight w:val="14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D113B7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432CA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素养</w:t>
            </w:r>
          </w:p>
          <w:p w14:paraId="1FEDF27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课程</w:t>
            </w: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6F566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0C6DEA1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both"/>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思政</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5878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45FF3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14A00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67E49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B7344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B06F4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C9C78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B89A4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20133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46C82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1C8988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A2BBB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1B072BD">
        <w:tblPrEx>
          <w:tblCellMar>
            <w:top w:w="0" w:type="dxa"/>
            <w:left w:w="0" w:type="dxa"/>
            <w:bottom w:w="0" w:type="dxa"/>
            <w:right w:w="0" w:type="dxa"/>
          </w:tblCellMar>
        </w:tblPrEx>
        <w:trPr>
          <w:trHeight w:val="14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60BC45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0CA7D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C6FBE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729418D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both"/>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中华优秀文化传统</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F0DA83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5E3B2E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4AAE4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DDBA6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D70F9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96C76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ADF2E9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6B69F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B6743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C8914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681A4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122B94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397C18ED">
        <w:tblPrEx>
          <w:tblCellMar>
            <w:top w:w="0" w:type="dxa"/>
            <w:left w:w="0" w:type="dxa"/>
            <w:bottom w:w="0" w:type="dxa"/>
            <w:right w:w="0" w:type="dxa"/>
          </w:tblCellMar>
        </w:tblPrEx>
        <w:trPr>
          <w:trHeight w:val="376"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A9766A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continue"/>
            <w:tcBorders>
              <w:top w:val="single" w:color="auto" w:sz="4" w:space="0"/>
              <w:left w:val="single" w:color="auto" w:sz="4" w:space="0"/>
              <w:bottom w:val="single" w:color="auto" w:sz="4" w:space="0"/>
              <w:right w:val="single" w:color="auto" w:sz="4" w:space="0"/>
            </w:tcBorders>
            <w:noWrap w:val="0"/>
            <w:vAlign w:val="center"/>
          </w:tcPr>
          <w:p w14:paraId="64BF611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014C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6858765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both"/>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计算机应用基础</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344A9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30130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46521F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6FB39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730539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8C54A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2B13D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2F4002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68B4B2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44527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4A0D54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57B59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61838A2">
        <w:tblPrEx>
          <w:tblCellMar>
            <w:top w:w="0" w:type="dxa"/>
            <w:left w:w="0" w:type="dxa"/>
            <w:bottom w:w="0" w:type="dxa"/>
            <w:right w:w="0" w:type="dxa"/>
          </w:tblCellMar>
        </w:tblPrEx>
        <w:trPr>
          <w:trHeight w:val="376"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E3BE10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continue"/>
            <w:tcBorders>
              <w:top w:val="single" w:color="auto" w:sz="4" w:space="0"/>
              <w:left w:val="single" w:color="auto" w:sz="4" w:space="0"/>
              <w:bottom w:val="single" w:color="auto" w:sz="4" w:space="0"/>
              <w:right w:val="single" w:color="auto" w:sz="4" w:space="0"/>
            </w:tcBorders>
            <w:noWrap w:val="0"/>
            <w:vAlign w:val="center"/>
          </w:tcPr>
          <w:p w14:paraId="0D4408E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649F8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21DF2EA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both"/>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体育与健康</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4C4A5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8274F1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7DBD2A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4D071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4F058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64E3D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116A5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29C9E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25653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417160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7A292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ADBD4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0FEBF1F2">
        <w:tblPrEx>
          <w:tblCellMar>
            <w:top w:w="0" w:type="dxa"/>
            <w:left w:w="0" w:type="dxa"/>
            <w:bottom w:w="0" w:type="dxa"/>
            <w:right w:w="0" w:type="dxa"/>
          </w:tblCellMar>
        </w:tblPrEx>
        <w:trPr>
          <w:trHeight w:val="376"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7809B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continue"/>
            <w:tcBorders>
              <w:top w:val="single" w:color="auto" w:sz="4" w:space="0"/>
              <w:left w:val="single" w:color="auto" w:sz="4" w:space="0"/>
              <w:bottom w:val="single" w:color="auto" w:sz="4" w:space="0"/>
              <w:right w:val="single" w:color="auto" w:sz="4" w:space="0"/>
            </w:tcBorders>
            <w:noWrap w:val="0"/>
            <w:vAlign w:val="center"/>
          </w:tcPr>
          <w:p w14:paraId="16FCA3C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A489D2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7571697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both"/>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物理</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D3C29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37273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E68F3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603976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B8F14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3F412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41458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E4A7A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83D0B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BCB4DC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08E75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4B7DF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63C36004">
        <w:tblPrEx>
          <w:tblCellMar>
            <w:top w:w="0" w:type="dxa"/>
            <w:left w:w="0" w:type="dxa"/>
            <w:bottom w:w="0" w:type="dxa"/>
            <w:right w:w="0" w:type="dxa"/>
          </w:tblCellMar>
        </w:tblPrEx>
        <w:trPr>
          <w:trHeight w:val="376"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D1832A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continue"/>
            <w:tcBorders>
              <w:top w:val="single" w:color="auto" w:sz="4" w:space="0"/>
              <w:left w:val="single" w:color="auto" w:sz="4" w:space="0"/>
              <w:bottom w:val="single" w:color="auto" w:sz="4" w:space="0"/>
              <w:right w:val="single" w:color="auto" w:sz="4" w:space="0"/>
            </w:tcBorders>
            <w:noWrap w:val="0"/>
            <w:vAlign w:val="center"/>
          </w:tcPr>
          <w:p w14:paraId="3D84BF8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C71536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56E7A23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both"/>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化学</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C5073C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C0A9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0F6A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6E4D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DEA1A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AFF53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7EC544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F7D75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CE7CB0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3B7F0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B004AD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5606B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7EE7C865">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EA7154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256" w:type="dxa"/>
            <w:gridSpan w:val="5"/>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26DAAA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bidi="ar"/>
              </w:rPr>
              <w:t>公共基础选修课小计</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5475D3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CB549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200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4CDE5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DCE07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94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A6B5D4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B4BC8A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89A84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90B99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3B9BD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1B50F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1243386">
        <w:tblPrEx>
          <w:tblCellMar>
            <w:top w:w="0" w:type="dxa"/>
            <w:left w:w="0" w:type="dxa"/>
            <w:bottom w:w="0" w:type="dxa"/>
            <w:right w:w="0" w:type="dxa"/>
          </w:tblCellMar>
        </w:tblPrEx>
        <w:trPr>
          <w:trHeight w:val="31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0B088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256" w:type="dxa"/>
            <w:gridSpan w:val="5"/>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4E2BBA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bidi="ar"/>
              </w:rPr>
              <w:t>公共基础课</w:t>
            </w:r>
            <w:r>
              <w:rPr>
                <w:rFonts w:hint="eastAsia" w:ascii="宋体" w:hAnsi="宋体" w:eastAsia="宋体" w:cs="宋体"/>
                <w:b/>
                <w:bCs/>
                <w:color w:val="auto"/>
                <w:sz w:val="21"/>
                <w:szCs w:val="21"/>
              </w:rPr>
              <w:t>合计</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61310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76</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D570B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1520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8568A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1022</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1D307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498</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BDC24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20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91208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20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7EE47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12</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F6803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431A89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val="en-US" w:eastAsia="zh-CN" w:bidi="ar"/>
              </w:rPr>
              <w:t>1</w:t>
            </w:r>
            <w:r>
              <w:rPr>
                <w:rFonts w:hint="eastAsia" w:ascii="宋体" w:hAnsi="宋体" w:eastAsia="宋体" w:cs="宋体"/>
                <w:b/>
                <w:bCs/>
                <w:color w:val="auto"/>
                <w:sz w:val="21"/>
                <w:szCs w:val="21"/>
                <w:lang w:bidi="ar"/>
              </w:rPr>
              <w:t>0</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191A7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99C18B4">
        <w:tblPrEx>
          <w:tblCellMar>
            <w:top w:w="0" w:type="dxa"/>
            <w:left w:w="0" w:type="dxa"/>
            <w:bottom w:w="0" w:type="dxa"/>
            <w:right w:w="0" w:type="dxa"/>
          </w:tblCellMar>
        </w:tblPrEx>
        <w:trPr>
          <w:trHeight w:val="375" w:hRule="atLeast"/>
          <w:jc w:val="center"/>
        </w:trPr>
        <w:tc>
          <w:tcPr>
            <w:tcW w:w="570"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BF161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专业课程</w:t>
            </w: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C5B83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专</w:t>
            </w:r>
          </w:p>
          <w:p w14:paraId="65BB810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业</w:t>
            </w:r>
          </w:p>
          <w:p w14:paraId="115C3D5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基</w:t>
            </w:r>
          </w:p>
          <w:p w14:paraId="7727FC3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础</w:t>
            </w:r>
          </w:p>
          <w:p w14:paraId="3D02084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课</w:t>
            </w:r>
          </w:p>
          <w:p w14:paraId="0A797B1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p w14:paraId="361DA88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专</w:t>
            </w:r>
          </w:p>
          <w:p w14:paraId="5F2BDE5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业</w:t>
            </w:r>
          </w:p>
          <w:p w14:paraId="7442EA4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核</w:t>
            </w:r>
          </w:p>
          <w:p w14:paraId="26F178C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心</w:t>
            </w:r>
          </w:p>
          <w:p w14:paraId="19A182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课</w:t>
            </w: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DD3AE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7F9EC30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机械制图(上、下)</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37F04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BBD65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0BF16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BCD91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160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F5B1D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A2CFC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243DF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35937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6EB59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FC2FF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206F4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29084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01A76D11">
        <w:tblPrEx>
          <w:tblCellMar>
            <w:top w:w="0" w:type="dxa"/>
            <w:left w:w="0" w:type="dxa"/>
            <w:bottom w:w="0" w:type="dxa"/>
            <w:right w:w="0" w:type="dxa"/>
          </w:tblCellMar>
        </w:tblPrEx>
        <w:trPr>
          <w:trHeight w:val="346"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0C7AC9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A02290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9DF29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3C883B4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机械基础(上、下)</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E5E172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F1737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7C418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ED9CB3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30E372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74F54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F6560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0B79A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BF67E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9D914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6EB8C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DE635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103B3C4F">
        <w:tblPrEx>
          <w:tblCellMar>
            <w:top w:w="0" w:type="dxa"/>
            <w:left w:w="0" w:type="dxa"/>
            <w:bottom w:w="0" w:type="dxa"/>
            <w:right w:w="0" w:type="dxa"/>
          </w:tblCellMar>
        </w:tblPrEx>
        <w:trPr>
          <w:trHeight w:val="37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2DD4B0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BA7B35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75EB2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11FD604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极限配合与技术测量</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043C4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B1CE5F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F4581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1A68A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7ACA44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9C1E7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A9F528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7A2506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DB273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4D9005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0FC9B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F4B332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14DE53C">
        <w:tblPrEx>
          <w:tblCellMar>
            <w:top w:w="0" w:type="dxa"/>
            <w:left w:w="0" w:type="dxa"/>
            <w:bottom w:w="0" w:type="dxa"/>
            <w:right w:w="0" w:type="dxa"/>
          </w:tblCellMar>
        </w:tblPrEx>
        <w:trPr>
          <w:trHeight w:val="19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2B2195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294DD7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81EC5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206BC5B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bCs/>
                <w:color w:val="auto"/>
                <w:sz w:val="21"/>
                <w:szCs w:val="21"/>
              </w:rPr>
            </w:pPr>
            <w:r>
              <w:rPr>
                <w:rFonts w:hint="eastAsia" w:ascii="宋体" w:hAnsi="宋体" w:eastAsia="宋体" w:cs="宋体"/>
                <w:color w:val="auto"/>
                <w:sz w:val="21"/>
                <w:szCs w:val="21"/>
                <w:lang w:bidi="ar"/>
              </w:rPr>
              <w:t>金属工艺学</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722AD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6A24F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E38E1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FA775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8FD37C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E8647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162D06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FFD93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D5DF0B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47442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6ED26F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371E6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5D16511E">
        <w:tblPrEx>
          <w:tblCellMar>
            <w:top w:w="0" w:type="dxa"/>
            <w:left w:w="0" w:type="dxa"/>
            <w:bottom w:w="0" w:type="dxa"/>
            <w:right w:w="0" w:type="dxa"/>
          </w:tblCellMar>
        </w:tblPrEx>
        <w:trPr>
          <w:trHeight w:val="290"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E1696A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E84813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3DBDE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0D9BB2A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电工技术基础</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5D741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AB5BB3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C88C0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24B89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330C1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62AF1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E33BD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C44BC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6FA23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E7AE62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E4DBC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B1014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E9672F2">
        <w:tblPrEx>
          <w:tblCellMar>
            <w:top w:w="0" w:type="dxa"/>
            <w:left w:w="0" w:type="dxa"/>
            <w:bottom w:w="0" w:type="dxa"/>
            <w:right w:w="0"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AAF28B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427AD4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5C84A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5D92F1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bCs/>
                <w:color w:val="auto"/>
                <w:sz w:val="21"/>
                <w:szCs w:val="21"/>
              </w:rPr>
            </w:pPr>
            <w:r>
              <w:rPr>
                <w:rFonts w:hint="eastAsia" w:ascii="宋体" w:hAnsi="宋体" w:eastAsia="宋体" w:cs="宋体"/>
                <w:color w:val="auto"/>
                <w:sz w:val="21"/>
                <w:szCs w:val="21"/>
                <w:lang w:bidi="ar"/>
              </w:rPr>
              <w:t>机械制图CAD</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747BC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3C194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E05EF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5F9EE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D2DEBA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0FCD7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772C3D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13F85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2AFAC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577CC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49F72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C76DD1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18A0A2E">
        <w:tblPrEx>
          <w:tblCellMar>
            <w:top w:w="0" w:type="dxa"/>
            <w:left w:w="0" w:type="dxa"/>
            <w:bottom w:w="0" w:type="dxa"/>
            <w:right w:w="0" w:type="dxa"/>
          </w:tblCellMar>
        </w:tblPrEx>
        <w:trPr>
          <w:trHeight w:val="5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59E73C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4DC7DB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477B0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696290F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bCs/>
                <w:color w:val="auto"/>
                <w:sz w:val="21"/>
                <w:szCs w:val="21"/>
              </w:rPr>
            </w:pPr>
            <w:r>
              <w:rPr>
                <w:rFonts w:hint="eastAsia" w:ascii="宋体" w:hAnsi="宋体" w:eastAsia="宋体" w:cs="宋体"/>
                <w:color w:val="auto"/>
                <w:sz w:val="21"/>
                <w:szCs w:val="21"/>
                <w:lang w:bidi="ar"/>
              </w:rPr>
              <w:t>电子技术基础</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E78387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81912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860FB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DAEA0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6F39B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52</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47EF77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28</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34417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2298D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1C77F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D5EFE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A666AB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53F5B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1EF891B0">
        <w:tblPrEx>
          <w:tblCellMar>
            <w:top w:w="0" w:type="dxa"/>
            <w:left w:w="0" w:type="dxa"/>
            <w:bottom w:w="0" w:type="dxa"/>
            <w:right w:w="0" w:type="dxa"/>
          </w:tblCellMar>
        </w:tblPrEx>
        <w:trPr>
          <w:trHeight w:val="30"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0BEDB0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F487E3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CDE02F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187B95B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bCs/>
                <w:color w:val="auto"/>
                <w:sz w:val="21"/>
                <w:szCs w:val="21"/>
              </w:rPr>
            </w:pPr>
            <w:r>
              <w:rPr>
                <w:rFonts w:hint="eastAsia" w:ascii="宋体" w:hAnsi="宋体" w:eastAsia="宋体" w:cs="宋体"/>
                <w:color w:val="auto"/>
                <w:sz w:val="21"/>
                <w:szCs w:val="21"/>
                <w:lang w:bidi="ar"/>
              </w:rPr>
              <w:t>气动与液压传动</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E02B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ED997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A9484F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EF134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3D7A0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54</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3148D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26</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EC6E85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7943D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41508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6347A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A37F3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F3FDA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53A5340A">
        <w:tblPrEx>
          <w:tblCellMar>
            <w:top w:w="0" w:type="dxa"/>
            <w:left w:w="0" w:type="dxa"/>
            <w:bottom w:w="0" w:type="dxa"/>
            <w:right w:w="0" w:type="dxa"/>
          </w:tblCellMar>
        </w:tblPrEx>
        <w:trPr>
          <w:trHeight w:val="30"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E3D8A4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2049D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54CA1B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6C1DB1C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传感器技术应用</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C181D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BD7CA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C1F8F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D49DF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E26E1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54</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A4317E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26</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AF235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AE99F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0E97A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81060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2EE8A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7E66CE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8E2E486">
        <w:tblPrEx>
          <w:tblCellMar>
            <w:top w:w="0" w:type="dxa"/>
            <w:left w:w="0" w:type="dxa"/>
            <w:bottom w:w="0" w:type="dxa"/>
            <w:right w:w="0" w:type="dxa"/>
          </w:tblCellMar>
        </w:tblPrEx>
        <w:trPr>
          <w:trHeight w:val="30"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9FF003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332C293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D79F3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5A89513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低压电器与PLC编程</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37983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6BE85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20D53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EF627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AFE8C1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54</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0F925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26</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ED14B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140F59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5C2B9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2CA683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9AD7F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55C5B1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0F3A77EE">
        <w:tblPrEx>
          <w:tblCellMar>
            <w:top w:w="0" w:type="dxa"/>
            <w:left w:w="0" w:type="dxa"/>
            <w:bottom w:w="0" w:type="dxa"/>
            <w:right w:w="0" w:type="dxa"/>
          </w:tblCellMar>
        </w:tblPrEx>
        <w:trPr>
          <w:trHeight w:val="30"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6E32E2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30F14F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7F05D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38DE0AF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pacing w:val="-1"/>
                <w:sz w:val="21"/>
                <w:szCs w:val="21"/>
              </w:rPr>
              <w:t>机电设备安装</w:t>
            </w:r>
            <w:r>
              <w:rPr>
                <w:rFonts w:hint="eastAsia" w:ascii="宋体" w:hAnsi="宋体" w:eastAsia="宋体" w:cs="宋体"/>
                <w:color w:val="auto"/>
                <w:sz w:val="21"/>
                <w:szCs w:val="21"/>
              </w:rPr>
              <w:t>与调试</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D6811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79496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FE6C7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4FEF2B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239C8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32</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EF8D7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A76F5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1CE18A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64A91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62B8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3983E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BA030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13846AD3">
        <w:tblPrEx>
          <w:tblCellMar>
            <w:top w:w="0" w:type="dxa"/>
            <w:left w:w="0" w:type="dxa"/>
            <w:bottom w:w="0" w:type="dxa"/>
            <w:right w:w="0" w:type="dxa"/>
          </w:tblCellMar>
        </w:tblPrEx>
        <w:trPr>
          <w:trHeight w:val="30"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4E0714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DE4E3C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9E27C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32B5DC1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电机与变压器</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816BA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9C70A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试</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73692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FEC82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B427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54</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59130A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26</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D949C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42E786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F9CEF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1E0427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672C8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EC9013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0292536F">
        <w:tblPrEx>
          <w:tblCellMar>
            <w:top w:w="0" w:type="dxa"/>
            <w:left w:w="0" w:type="dxa"/>
            <w:bottom w:w="0" w:type="dxa"/>
            <w:right w:w="0" w:type="dxa"/>
          </w:tblCellMar>
        </w:tblPrEx>
        <w:trPr>
          <w:trHeight w:val="360"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B96910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256" w:type="dxa"/>
            <w:gridSpan w:val="5"/>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128C6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color w:val="auto"/>
                <w:sz w:val="21"/>
                <w:szCs w:val="21"/>
                <w:lang w:bidi="ar"/>
              </w:rPr>
              <w:t>专业必修课小计</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A7F2A0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54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1AF470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7036B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766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93C7D8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314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B53B9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4DA20C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161DB8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18</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138C0B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16</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06744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8F667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4CD8093">
        <w:tblPrEx>
          <w:tblCellMar>
            <w:top w:w="0" w:type="dxa"/>
            <w:left w:w="0" w:type="dxa"/>
            <w:bottom w:w="0" w:type="dxa"/>
            <w:right w:w="0" w:type="dxa"/>
          </w:tblCellMar>
        </w:tblPrEx>
        <w:trPr>
          <w:trHeight w:val="465"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4B411B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0E872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拓</w:t>
            </w:r>
          </w:p>
          <w:p w14:paraId="499BB42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展</w:t>
            </w:r>
          </w:p>
          <w:p w14:paraId="00ED91A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课</w:t>
            </w:r>
          </w:p>
          <w:p w14:paraId="5ED1995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程(选2)</w:t>
            </w: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1D4EF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2193850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数控加工与编程</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4EFA75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02A9A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C2E50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1BEF2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23A600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7F1F5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6103A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79D3D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A24CF4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278323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5F8D7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CF875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693C701D">
        <w:tblPrEx>
          <w:tblCellMar>
            <w:top w:w="0" w:type="dxa"/>
            <w:left w:w="0" w:type="dxa"/>
            <w:bottom w:w="0" w:type="dxa"/>
            <w:right w:w="0" w:type="dxa"/>
          </w:tblCellMar>
        </w:tblPrEx>
        <w:trPr>
          <w:trHeight w:val="35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647DD4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49780E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2DC62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3A41314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工厂供电</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637A2F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11A44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8E121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6E087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4EFBC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DDAB1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2147C0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BC2BF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03080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F1BD27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A6E468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F58CD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3AA0EA0D">
        <w:tblPrEx>
          <w:tblCellMar>
            <w:top w:w="0" w:type="dxa"/>
            <w:left w:w="0" w:type="dxa"/>
            <w:bottom w:w="0" w:type="dxa"/>
            <w:right w:w="0" w:type="dxa"/>
          </w:tblCellMar>
        </w:tblPrEx>
        <w:trPr>
          <w:trHeight w:val="35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949085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58948F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205CF0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603EDEE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机电设备管理</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AE6D7C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ECEF3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54FF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D7118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EFF07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3007F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37529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4741C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39539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6ED058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5D937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34578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75709D07">
        <w:tblPrEx>
          <w:tblCellMar>
            <w:top w:w="0" w:type="dxa"/>
            <w:left w:w="0" w:type="dxa"/>
            <w:bottom w:w="0" w:type="dxa"/>
            <w:right w:w="0" w:type="dxa"/>
          </w:tblCellMar>
        </w:tblPrEx>
        <w:trPr>
          <w:trHeight w:val="358"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74F03B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585" w:type="dxa"/>
            <w:vMerge w:val="continue"/>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22F00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4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BD211A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254" w:type="dxa"/>
            <w:tcBorders>
              <w:top w:val="single" w:color="auto" w:sz="4" w:space="0"/>
              <w:left w:val="single" w:color="auto" w:sz="4" w:space="0"/>
              <w:bottom w:val="single" w:color="auto" w:sz="4" w:space="0"/>
              <w:right w:val="single" w:color="auto" w:sz="4" w:space="0"/>
            </w:tcBorders>
            <w:noWrap w:val="0"/>
            <w:vAlign w:val="center"/>
          </w:tcPr>
          <w:p w14:paraId="45FD1A3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r>
              <w:rPr>
                <w:rFonts w:hint="eastAsia" w:ascii="宋体" w:hAnsi="宋体" w:eastAsia="宋体" w:cs="宋体"/>
                <w:color w:val="auto"/>
                <w:sz w:val="21"/>
                <w:szCs w:val="21"/>
                <w:lang w:bidi="ar"/>
              </w:rPr>
              <w:t>智能制造技术基础</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39827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选</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AD2C2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73747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F60F1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80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06EAC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56</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5EA91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24</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F2C84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72A51E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29890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75B749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077EA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4</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7506E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4C2DD64E">
        <w:tblPrEx>
          <w:tblCellMar>
            <w:top w:w="0" w:type="dxa"/>
            <w:left w:w="0" w:type="dxa"/>
            <w:bottom w:w="0" w:type="dxa"/>
            <w:right w:w="0" w:type="dxa"/>
          </w:tblCellMar>
        </w:tblPrEx>
        <w:trPr>
          <w:trHeight w:val="377"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CFD256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118EC1F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3671" w:type="dxa"/>
            <w:gridSpan w:val="4"/>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24DA1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color w:val="auto"/>
                <w:sz w:val="21"/>
                <w:szCs w:val="21"/>
                <w:lang w:bidi="ar"/>
              </w:rPr>
              <w:t>专业选修课小计</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90F86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8</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EA0B8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160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6D33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112</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94DCE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48</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2DA51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3E209F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DB221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AE8F6D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70950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8</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D12BB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5E0C09B5">
        <w:tblPrEx>
          <w:tblCellMar>
            <w:top w:w="0" w:type="dxa"/>
            <w:left w:w="0" w:type="dxa"/>
            <w:bottom w:w="0" w:type="dxa"/>
            <w:right w:w="0" w:type="dxa"/>
          </w:tblCellMar>
        </w:tblPrEx>
        <w:trPr>
          <w:trHeight w:val="360"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8523D0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4256" w:type="dxa"/>
            <w:gridSpan w:val="5"/>
            <w:tcBorders>
              <w:top w:val="single" w:color="auto" w:sz="4" w:space="0"/>
              <w:left w:val="single" w:color="auto" w:sz="4" w:space="0"/>
              <w:bottom w:val="single" w:color="auto" w:sz="4" w:space="0"/>
              <w:right w:val="single" w:color="auto" w:sz="4" w:space="0"/>
            </w:tcBorders>
            <w:noWrap w:val="0"/>
            <w:vAlign w:val="center"/>
          </w:tcPr>
          <w:p w14:paraId="31B0922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color w:val="auto"/>
                <w:sz w:val="21"/>
                <w:szCs w:val="21"/>
                <w:lang w:bidi="ar"/>
              </w:rPr>
              <w:t>专业技能课合计</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2A92F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62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374DE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1240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B944F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878</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E81A3C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362</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A1110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4037B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C885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18</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51A1A0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16</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B26A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8</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5AA18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091F2F9B">
        <w:tblPrEx>
          <w:tblCellMar>
            <w:top w:w="0" w:type="dxa"/>
            <w:left w:w="0" w:type="dxa"/>
            <w:bottom w:w="0" w:type="dxa"/>
            <w:right w:w="0" w:type="dxa"/>
          </w:tblCellMar>
        </w:tblPrEx>
        <w:trPr>
          <w:trHeight w:val="360" w:hRule="atLeast"/>
          <w:jc w:val="center"/>
        </w:trPr>
        <w:tc>
          <w:tcPr>
            <w:tcW w:w="4826" w:type="dxa"/>
            <w:gridSpan w:val="6"/>
            <w:tcBorders>
              <w:top w:val="single" w:color="auto" w:sz="4" w:space="0"/>
              <w:left w:val="single" w:color="auto" w:sz="4" w:space="0"/>
              <w:bottom w:val="single" w:color="auto" w:sz="4" w:space="0"/>
              <w:right w:val="single" w:color="auto" w:sz="4" w:space="0"/>
            </w:tcBorders>
            <w:noWrap w:val="0"/>
            <w:vAlign w:val="center"/>
          </w:tcPr>
          <w:p w14:paraId="39D50FC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color w:val="auto"/>
                <w:sz w:val="21"/>
                <w:szCs w:val="21"/>
                <w:lang w:bidi="ar"/>
              </w:rPr>
              <w:t>公共基础和专业技能课合计</w:t>
            </w:r>
          </w:p>
        </w:tc>
        <w:tc>
          <w:tcPr>
            <w:tcW w:w="409" w:type="dxa"/>
            <w:tcBorders>
              <w:top w:val="single" w:color="auto" w:sz="4" w:space="0"/>
              <w:left w:val="single" w:color="auto" w:sz="4" w:space="0"/>
              <w:bottom w:val="single" w:color="auto" w:sz="4" w:space="0"/>
              <w:right w:val="single" w:color="auto" w:sz="4" w:space="0"/>
            </w:tcBorders>
            <w:noWrap w:val="0"/>
            <w:vAlign w:val="center"/>
          </w:tcPr>
          <w:p w14:paraId="29C3AFB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138</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224DDD3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2760</w:t>
            </w:r>
          </w:p>
        </w:tc>
        <w:tc>
          <w:tcPr>
            <w:tcW w:w="525" w:type="dxa"/>
            <w:tcBorders>
              <w:top w:val="single" w:color="auto" w:sz="4" w:space="0"/>
              <w:left w:val="single" w:color="auto" w:sz="4" w:space="0"/>
              <w:bottom w:val="single" w:color="auto" w:sz="4" w:space="0"/>
              <w:right w:val="single" w:color="auto" w:sz="4" w:space="0"/>
            </w:tcBorders>
            <w:noWrap w:val="0"/>
            <w:vAlign w:val="center"/>
          </w:tcPr>
          <w:p w14:paraId="2A4D670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1900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A0835E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860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D7137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30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8C17D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30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99A8F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30</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D892DE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30</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C5373E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val="en-US" w:eastAsia="zh-CN" w:bidi="ar"/>
              </w:rPr>
              <w:t>1</w:t>
            </w:r>
            <w:r>
              <w:rPr>
                <w:rFonts w:hint="eastAsia" w:ascii="宋体" w:hAnsi="宋体" w:eastAsia="宋体" w:cs="宋体"/>
                <w:b/>
                <w:bCs/>
                <w:color w:val="auto"/>
                <w:sz w:val="21"/>
                <w:szCs w:val="21"/>
                <w:lang w:bidi="ar"/>
              </w:rPr>
              <w:t>8</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9FCE7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5A3DE984">
        <w:tblPrEx>
          <w:tblCellMar>
            <w:top w:w="0" w:type="dxa"/>
            <w:left w:w="0" w:type="dxa"/>
            <w:bottom w:w="0" w:type="dxa"/>
            <w:right w:w="0" w:type="dxa"/>
          </w:tblCellMar>
        </w:tblPrEx>
        <w:trPr>
          <w:trHeight w:val="407" w:hRule="atLeast"/>
          <w:jc w:val="center"/>
        </w:trPr>
        <w:tc>
          <w:tcPr>
            <w:tcW w:w="1155"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3061F06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军训</w:t>
            </w:r>
          </w:p>
          <w:p w14:paraId="0888BE1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入学</w:t>
            </w:r>
          </w:p>
          <w:p w14:paraId="711F13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教育</w:t>
            </w:r>
          </w:p>
          <w:p w14:paraId="517AFA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实习</w:t>
            </w:r>
          </w:p>
          <w:p w14:paraId="0BE2CA9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实训</w:t>
            </w:r>
          </w:p>
          <w:p w14:paraId="2A09348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等</w:t>
            </w: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34BD1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入学教育、军训、毕业教育</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2462E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DB710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70151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5D7E20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EE1BC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20521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60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A6C182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1周</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BD4DD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3023B1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E0362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2BFCB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67E99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1周</w:t>
            </w:r>
          </w:p>
        </w:tc>
      </w:tr>
      <w:tr w14:paraId="582E82D9">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B81A06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76F86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钳工、电焊教学实训</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F85A5A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8FD0B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B8A8E9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D03CF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BC459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22C84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A66815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1周</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7F10BF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E700D8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9E9D08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F2BB52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984FC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03034836">
        <w:tblPrEx>
          <w:tblCellMar>
            <w:top w:w="0" w:type="dxa"/>
            <w:left w:w="0" w:type="dxa"/>
            <w:bottom w:w="0" w:type="dxa"/>
            <w:right w:w="0" w:type="dxa"/>
          </w:tblCellMar>
        </w:tblPrEx>
        <w:trPr>
          <w:trHeight w:val="375"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noWrap w:val="0"/>
            <w:vAlign w:val="center"/>
          </w:tcPr>
          <w:p w14:paraId="79108A4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45178B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机械制图教学实训</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E9D1F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DF151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0D8F9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E385C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B780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2B9F2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BF844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890D5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1周</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81756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9B8EA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95006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9B5B01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2727BFCC">
        <w:tblPrEx>
          <w:tblCellMar>
            <w:top w:w="0" w:type="dxa"/>
            <w:left w:w="0" w:type="dxa"/>
            <w:bottom w:w="0" w:type="dxa"/>
            <w:right w:w="0" w:type="dxa"/>
          </w:tblCellMar>
        </w:tblPrEx>
        <w:trPr>
          <w:trHeight w:val="426"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noWrap w:val="0"/>
            <w:vAlign w:val="center"/>
          </w:tcPr>
          <w:p w14:paraId="65C2B5E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26918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电工、电子教学实训</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FA54B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B28320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A851E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6EC5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98590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CEC6C1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C8B2A3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031EE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0.5周</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048F0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065CE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2FD7C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579CB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027E018E">
        <w:tblPrEx>
          <w:tblCellMar>
            <w:top w:w="0" w:type="dxa"/>
            <w:left w:w="0" w:type="dxa"/>
            <w:bottom w:w="0" w:type="dxa"/>
            <w:right w:w="0" w:type="dxa"/>
          </w:tblCellMar>
        </w:tblPrEx>
        <w:trPr>
          <w:trHeight w:val="375"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noWrap w:val="0"/>
            <w:vAlign w:val="center"/>
          </w:tcPr>
          <w:p w14:paraId="199BBA9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D1B448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液压与气压实训</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37B52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AC40C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693CD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62450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74B5F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CD938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BFA37D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468B1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020C2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0.5周</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0E63A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BC631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B8D70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32F15467">
        <w:tblPrEx>
          <w:tblCellMar>
            <w:top w:w="0" w:type="dxa"/>
            <w:left w:w="0" w:type="dxa"/>
            <w:bottom w:w="0" w:type="dxa"/>
            <w:right w:w="0" w:type="dxa"/>
          </w:tblCellMar>
        </w:tblPrEx>
        <w:trPr>
          <w:trHeight w:val="375"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noWrap w:val="0"/>
            <w:vAlign w:val="center"/>
          </w:tcPr>
          <w:p w14:paraId="40B0848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DAE69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传感器应用教学实训</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B5E3E9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302806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B4DD3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5AFDF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CB1804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DDAC7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BA644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4A181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CA1A4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998455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0.5周</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DEFB4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F3E32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160DB68F">
        <w:tblPrEx>
          <w:tblCellMar>
            <w:top w:w="0" w:type="dxa"/>
            <w:left w:w="0" w:type="dxa"/>
            <w:bottom w:w="0" w:type="dxa"/>
            <w:right w:w="0" w:type="dxa"/>
          </w:tblCellMar>
        </w:tblPrEx>
        <w:trPr>
          <w:trHeight w:val="375"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noWrap w:val="0"/>
            <w:vAlign w:val="center"/>
          </w:tcPr>
          <w:p w14:paraId="1C4476D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AB527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PLC控制技术教学实训</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16F2F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5579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05BDB9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71B2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9F2CD7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AFE1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6F312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E6976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43D84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0.5周</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872C6A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5BB216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D1484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3315C6CA">
        <w:tblPrEx>
          <w:tblCellMar>
            <w:top w:w="0" w:type="dxa"/>
            <w:left w:w="0" w:type="dxa"/>
            <w:bottom w:w="0" w:type="dxa"/>
            <w:right w:w="0" w:type="dxa"/>
          </w:tblCellMar>
        </w:tblPrEx>
        <w:trPr>
          <w:trHeight w:val="375"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noWrap w:val="0"/>
            <w:vAlign w:val="center"/>
          </w:tcPr>
          <w:p w14:paraId="0F69F1E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B2A34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企业综合教学实践</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354188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3351E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D5DC7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ACA3D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331F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D0874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360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4CDE6F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7A01FB">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1538B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D7871DC">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AABEB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12周</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335A63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r w14:paraId="33954A6E">
        <w:tblPrEx>
          <w:tblCellMar>
            <w:top w:w="0" w:type="dxa"/>
            <w:left w:w="0" w:type="dxa"/>
            <w:bottom w:w="0" w:type="dxa"/>
            <w:right w:w="0" w:type="dxa"/>
          </w:tblCellMar>
        </w:tblPrEx>
        <w:trPr>
          <w:trHeight w:val="375"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noWrap w:val="0"/>
            <w:vAlign w:val="center"/>
          </w:tcPr>
          <w:p w14:paraId="4280CD7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auto"/>
                <w:sz w:val="21"/>
                <w:szCs w:val="21"/>
              </w:rPr>
            </w:pPr>
          </w:p>
        </w:tc>
        <w:tc>
          <w:tcPr>
            <w:tcW w:w="2689"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0A9C4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顶岗实习</w:t>
            </w:r>
          </w:p>
        </w:tc>
        <w:tc>
          <w:tcPr>
            <w:tcW w:w="44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315B5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必</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E765B5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查</w:t>
            </w:r>
          </w:p>
        </w:tc>
        <w:tc>
          <w:tcPr>
            <w:tcW w:w="409"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4DC9F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18</w:t>
            </w:r>
          </w:p>
        </w:tc>
        <w:tc>
          <w:tcPr>
            <w:tcW w:w="54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AE490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540</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89722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0FBAFB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540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195FE9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0DAF7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FE14C9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487206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68033C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13380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18周</w:t>
            </w:r>
          </w:p>
        </w:tc>
      </w:tr>
      <w:tr w14:paraId="5800967E">
        <w:tblPrEx>
          <w:tblCellMar>
            <w:top w:w="0" w:type="dxa"/>
            <w:left w:w="0" w:type="dxa"/>
            <w:bottom w:w="0" w:type="dxa"/>
            <w:right w:w="0" w:type="dxa"/>
          </w:tblCellMar>
        </w:tblPrEx>
        <w:trPr>
          <w:trHeight w:val="375" w:hRule="atLeast"/>
          <w:jc w:val="center"/>
        </w:trPr>
        <w:tc>
          <w:tcPr>
            <w:tcW w:w="1155"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21EC42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3671" w:type="dxa"/>
            <w:gridSpan w:val="4"/>
            <w:tcBorders>
              <w:top w:val="single" w:color="auto" w:sz="4" w:space="0"/>
              <w:left w:val="single" w:color="auto" w:sz="4" w:space="0"/>
              <w:bottom w:val="single" w:color="auto" w:sz="4" w:space="0"/>
              <w:right w:val="single" w:color="auto" w:sz="4" w:space="0"/>
            </w:tcBorders>
            <w:noWrap w:val="0"/>
            <w:vAlign w:val="center"/>
          </w:tcPr>
          <w:p w14:paraId="16648B45">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小计</w:t>
            </w:r>
          </w:p>
        </w:tc>
        <w:tc>
          <w:tcPr>
            <w:tcW w:w="409" w:type="dxa"/>
            <w:tcBorders>
              <w:top w:val="single" w:color="auto" w:sz="4" w:space="0"/>
              <w:left w:val="single" w:color="auto" w:sz="4" w:space="0"/>
              <w:bottom w:val="single" w:color="auto" w:sz="4" w:space="0"/>
              <w:right w:val="single" w:color="auto" w:sz="4" w:space="0"/>
            </w:tcBorders>
            <w:noWrap w:val="0"/>
            <w:vAlign w:val="center"/>
          </w:tcPr>
          <w:p w14:paraId="586ADFA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36</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79E5579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1080</w:t>
            </w:r>
          </w:p>
        </w:tc>
        <w:tc>
          <w:tcPr>
            <w:tcW w:w="525" w:type="dxa"/>
            <w:tcBorders>
              <w:top w:val="single" w:color="auto" w:sz="4" w:space="0"/>
              <w:left w:val="single" w:color="auto" w:sz="4" w:space="0"/>
              <w:bottom w:val="single" w:color="auto" w:sz="4" w:space="0"/>
              <w:right w:val="single" w:color="auto" w:sz="4" w:space="0"/>
            </w:tcBorders>
            <w:noWrap w:val="0"/>
            <w:vAlign w:val="center"/>
          </w:tcPr>
          <w:p w14:paraId="2EC58CA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7FE15D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1080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688BB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2.5周</w:t>
            </w: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407F06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1.5周</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132E9E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1周</w:t>
            </w: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1E008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0.5周</w:t>
            </w: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EE243D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12周</w:t>
            </w: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6DB0F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19周</w:t>
            </w:r>
          </w:p>
        </w:tc>
      </w:tr>
      <w:tr w14:paraId="6560D074">
        <w:tblPrEx>
          <w:tblCellMar>
            <w:top w:w="0" w:type="dxa"/>
            <w:left w:w="0" w:type="dxa"/>
            <w:bottom w:w="0" w:type="dxa"/>
            <w:right w:w="0" w:type="dxa"/>
          </w:tblCellMar>
        </w:tblPrEx>
        <w:trPr>
          <w:trHeight w:val="375" w:hRule="atLeast"/>
          <w:jc w:val="center"/>
        </w:trPr>
        <w:tc>
          <w:tcPr>
            <w:tcW w:w="4826" w:type="dxa"/>
            <w:gridSpan w:val="6"/>
            <w:tcBorders>
              <w:top w:val="single" w:color="auto" w:sz="4" w:space="0"/>
              <w:left w:val="single" w:color="auto" w:sz="4" w:space="0"/>
              <w:bottom w:val="single" w:color="auto" w:sz="4" w:space="0"/>
              <w:right w:val="single" w:color="auto" w:sz="4" w:space="0"/>
            </w:tcBorders>
            <w:noWrap w:val="0"/>
            <w:vAlign w:val="center"/>
          </w:tcPr>
          <w:p w14:paraId="04841A6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总 计</w:t>
            </w:r>
          </w:p>
        </w:tc>
        <w:tc>
          <w:tcPr>
            <w:tcW w:w="409" w:type="dxa"/>
            <w:tcBorders>
              <w:top w:val="single" w:color="auto" w:sz="4" w:space="0"/>
              <w:left w:val="single" w:color="auto" w:sz="4" w:space="0"/>
              <w:bottom w:val="single" w:color="auto" w:sz="4" w:space="0"/>
              <w:right w:val="single" w:color="auto" w:sz="4" w:space="0"/>
            </w:tcBorders>
            <w:noWrap w:val="0"/>
            <w:vAlign w:val="center"/>
          </w:tcPr>
          <w:p w14:paraId="7C1F775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174</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20BB526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3840</w:t>
            </w:r>
          </w:p>
        </w:tc>
        <w:tc>
          <w:tcPr>
            <w:tcW w:w="525" w:type="dxa"/>
            <w:tcBorders>
              <w:top w:val="single" w:color="auto" w:sz="4" w:space="0"/>
              <w:left w:val="single" w:color="auto" w:sz="4" w:space="0"/>
              <w:bottom w:val="single" w:color="auto" w:sz="4" w:space="0"/>
              <w:right w:val="single" w:color="auto" w:sz="4" w:space="0"/>
            </w:tcBorders>
            <w:noWrap w:val="0"/>
            <w:vAlign w:val="center"/>
          </w:tcPr>
          <w:p w14:paraId="3C5E402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1900</w:t>
            </w:r>
          </w:p>
        </w:tc>
        <w:tc>
          <w:tcPr>
            <w:tcW w:w="5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695FC5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b/>
                <w:color w:val="auto"/>
                <w:sz w:val="21"/>
                <w:szCs w:val="21"/>
              </w:rPr>
            </w:pPr>
            <w:r>
              <w:rPr>
                <w:rFonts w:hint="eastAsia" w:ascii="宋体" w:hAnsi="宋体" w:eastAsia="宋体" w:cs="宋体"/>
                <w:b/>
                <w:bCs/>
                <w:color w:val="auto"/>
                <w:sz w:val="21"/>
                <w:szCs w:val="21"/>
                <w:lang w:bidi="ar"/>
              </w:rPr>
              <w:t>1940</w:t>
            </w:r>
          </w:p>
        </w:tc>
        <w:tc>
          <w:tcPr>
            <w:tcW w:w="58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767A6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7B8C3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80A85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55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A1BE06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0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DB905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c>
          <w:tcPr>
            <w:tcW w:w="61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C2AD1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color w:val="auto"/>
                <w:sz w:val="21"/>
                <w:szCs w:val="21"/>
              </w:rPr>
            </w:pPr>
          </w:p>
        </w:tc>
      </w:tr>
    </w:tbl>
    <w:p w14:paraId="30035D6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b/>
          <w:sz w:val="24"/>
          <w:szCs w:val="24"/>
        </w:rPr>
      </w:pPr>
    </w:p>
    <w:p w14:paraId="79B582A2">
      <w:pPr>
        <w:pStyle w:val="2"/>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16" w:name="_TOC_250002"/>
      <w:bookmarkEnd w:id="16"/>
      <w:bookmarkStart w:id="17" w:name="_Toc10315"/>
      <w:r>
        <w:rPr>
          <w:rFonts w:hint="eastAsia" w:ascii="宋体" w:hAnsi="宋体" w:eastAsia="宋体" w:cs="宋体"/>
          <w:b/>
          <w:sz w:val="24"/>
          <w:szCs w:val="24"/>
        </w:rPr>
        <w:t>八、实施保障</w:t>
      </w:r>
      <w:bookmarkEnd w:id="17"/>
    </w:p>
    <w:p w14:paraId="712D606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rPr>
        <w:t>主要包括师资队伍、教学条件(教学设施、教学资源、教学方法）、质量保障等方面。</w:t>
      </w:r>
    </w:p>
    <w:p w14:paraId="23F4D5C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120" w:firstLineChars="50"/>
        <w:rPr>
          <w:rFonts w:hint="eastAsia" w:ascii="宋体" w:hAnsi="宋体" w:eastAsia="宋体" w:cs="宋体"/>
          <w:b/>
          <w:color w:val="000000"/>
          <w:sz w:val="24"/>
          <w:szCs w:val="24"/>
        </w:rPr>
      </w:pPr>
      <w:r>
        <w:rPr>
          <w:rFonts w:hint="eastAsia" w:ascii="宋体" w:hAnsi="宋体" w:eastAsia="宋体" w:cs="宋体"/>
          <w:b/>
          <w:color w:val="000000"/>
          <w:sz w:val="24"/>
          <w:szCs w:val="24"/>
        </w:rPr>
        <w:t>（一）师资队伍</w:t>
      </w:r>
    </w:p>
    <w:p w14:paraId="3D89952D">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根据教育部颁布的《中等职业学校教师专业标准》和《中等职业学校设置标准》的有关规定，按照“有理想信念、有道德情操、有扎实学识、有仁爱之心；坚持教书和育人相统一、坚持言传和身教相统一、坚持潜心问道和关注社会相统一、坚持学术自由和学术规范相统一；做学生的锤炼品格、学习知识、创新思维、奉献祖国的引路人”的</w:t>
      </w:r>
      <w:r>
        <w:rPr>
          <w:rFonts w:hint="eastAsia" w:ascii="宋体" w:hAnsi="宋体" w:eastAsia="宋体" w:cs="宋体"/>
          <w:color w:val="000000"/>
          <w:sz w:val="24"/>
          <w:szCs w:val="24"/>
          <w:lang w:bidi="ar"/>
        </w:rPr>
        <w:t>要求建设专业教师队伍，将师德师风作为教师队伍建设的第一标准</w:t>
      </w:r>
      <w:r>
        <w:rPr>
          <w:rFonts w:hint="eastAsia" w:ascii="宋体" w:hAnsi="宋体" w:eastAsia="宋体" w:cs="宋体"/>
          <w:color w:val="000000"/>
          <w:sz w:val="24"/>
          <w:szCs w:val="24"/>
        </w:rPr>
        <w:t>。</w:t>
      </w:r>
    </w:p>
    <w:p w14:paraId="728A1B8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（1）队伍结构</w:t>
      </w:r>
    </w:p>
    <w:p w14:paraId="1689F82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合理配置教师资源，</w:t>
      </w:r>
      <w:r>
        <w:rPr>
          <w:rFonts w:hint="eastAsia" w:ascii="宋体" w:hAnsi="宋体" w:eastAsia="宋体" w:cs="宋体"/>
          <w:color w:val="000000"/>
          <w:sz w:val="24"/>
          <w:szCs w:val="24"/>
          <w:lang w:bidi="ar"/>
        </w:rPr>
        <w:t>整合校内外优质人才资源，选聘企业高级技术人员担任行业导师，组建校企合作、专兼结合的教师团队，建立定期开展专业（学科）教研机制，</w:t>
      </w:r>
      <w:r>
        <w:rPr>
          <w:rFonts w:hint="eastAsia" w:ascii="宋体" w:hAnsi="宋体" w:eastAsia="宋体" w:cs="宋体"/>
          <w:color w:val="000000"/>
          <w:sz w:val="24"/>
          <w:szCs w:val="24"/>
        </w:rPr>
        <w:t>专业教师队伍数量、学历职称结构合理，建立了“双师型”专业教师团队。</w:t>
      </w:r>
    </w:p>
    <w:p w14:paraId="4C6773E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（2）专业带头人</w:t>
      </w:r>
    </w:p>
    <w:p w14:paraId="2DCFE0D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rPr>
        <w:t>具有本专业较高的理论水平和较强的实践能力，</w:t>
      </w:r>
      <w:r>
        <w:rPr>
          <w:rFonts w:hint="eastAsia" w:ascii="宋体" w:hAnsi="宋体" w:eastAsia="宋体" w:cs="宋体"/>
          <w:color w:val="000000"/>
          <w:sz w:val="24"/>
          <w:szCs w:val="24"/>
          <w:lang w:bidi="ar"/>
        </w:rPr>
        <w:t>能广泛联系行业企业，了解国内外通用设备制造、专用设备制造等行业发展新趋势，准确把握行业企业用人需求，具有组织开展专业建设、教科研工作和企业服务的能力，在本专业改革发展中起引领作用。</w:t>
      </w:r>
    </w:p>
    <w:p w14:paraId="01001BD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（3）专任教师</w:t>
      </w:r>
    </w:p>
    <w:p w14:paraId="208D2BD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具有教师资格证书；具有机械、机电、数控技术等相关专业学历；具有一定年限的相应工作经历或者实践经验，达到相应的技术技能水平；具有本专业理论和实践能力；能够落实课程思政要求，挖掘专业课程中的思政教育元素和资源；能够运用信息技术开展混合式教学等教法改革；能够跟踪新经济、新技术发展前沿，开展社会服务。</w:t>
      </w:r>
    </w:p>
    <w:p w14:paraId="6079600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（4）兼职教师</w:t>
      </w:r>
    </w:p>
    <w:p w14:paraId="72CACD1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主要从本专业相关行业企业的高技能人才中聘任，具有扎实的专业知识和丰富的实际工作经验，一般具有中级及以上专业技术职务（职称）或高级工及以上职业技能等级，了解教育教学规律，能承担专业课程教学、实习实训指导和学生职业发展规划指导等专业教学任务。根据需要聘请技能大师、劳动模范、能工巧匠等高技能人才，根据国家有关要求制定针对兼职教师聘任与管理的具体实施办法。</w:t>
      </w:r>
    </w:p>
    <w:p w14:paraId="127CEE9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今后完善师资队伍的形式主要有三种： </w:t>
      </w:r>
    </w:p>
    <w:p w14:paraId="07BE054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1．引进人才，特别是年轻教师，优点是教学稳定，较快达到教学要求。 </w:t>
      </w:r>
    </w:p>
    <w:p w14:paraId="28FDCFE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2．注重教师企业实践和专业及业务培训，教师要不断提高专业技能以及教学水平。 </w:t>
      </w:r>
    </w:p>
    <w:p w14:paraId="19ED775F">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72" w:firstLineChars="197"/>
        <w:rPr>
          <w:rFonts w:hint="eastAsia" w:ascii="宋体" w:hAnsi="宋体" w:eastAsia="宋体" w:cs="宋体"/>
          <w:sz w:val="24"/>
          <w:szCs w:val="24"/>
        </w:rPr>
      </w:pPr>
      <w:r>
        <w:rPr>
          <w:rFonts w:hint="eastAsia" w:ascii="宋体" w:hAnsi="宋体" w:eastAsia="宋体" w:cs="宋体"/>
          <w:color w:val="000000"/>
          <w:sz w:val="24"/>
          <w:szCs w:val="24"/>
        </w:rPr>
        <w:t>3．建立稳定的、高水平的兼职教师队伍，使教学与社会同步，同时学校教师也能通过交流得到提高。</w:t>
      </w:r>
    </w:p>
    <w:p w14:paraId="1ABA0037">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75" w:firstLineChars="197"/>
        <w:rPr>
          <w:rFonts w:hint="eastAsia" w:ascii="宋体" w:hAnsi="宋体" w:eastAsia="宋体" w:cs="宋体"/>
          <w:b/>
          <w:color w:val="000000"/>
          <w:sz w:val="24"/>
          <w:szCs w:val="24"/>
        </w:rPr>
      </w:pPr>
      <w:r>
        <w:rPr>
          <w:rFonts w:hint="eastAsia" w:ascii="宋体" w:hAnsi="宋体" w:eastAsia="宋体" w:cs="宋体"/>
          <w:b/>
          <w:color w:val="000000"/>
          <w:sz w:val="24"/>
          <w:szCs w:val="24"/>
        </w:rPr>
        <w:t>（二）教学条件</w:t>
      </w:r>
    </w:p>
    <w:p w14:paraId="5177981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（1）教学设施：</w:t>
      </w:r>
    </w:p>
    <w:p w14:paraId="0BE9E70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主要包括能够满足正常的课程教学、实习实训所需的专业教室、实验室、实训室和实习实训基地。</w:t>
      </w:r>
    </w:p>
    <w:p w14:paraId="5CF29D16">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学校地处龙岩市新罗区南城，校园绿树成荫、环境优美。校园占地219亩，建筑面积5.1万平方米。教学设施完备，办学条件优越 ，拥有现代化的教学设备和雄厚的师资力量。学校现有三幢教学大楼，一幢实验大楼，一幢集实验实训、图书馆于一体的科学楼，五幢标准化学生公寓(配备卫生间、洗衣间等)，一幢拥有1000多个座位的礼堂和两个学生餐厅的综合大楼，一幢多功能的现代化办公大楼。</w:t>
      </w:r>
    </w:p>
    <w:p w14:paraId="29E9F96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sz w:val="24"/>
          <w:szCs w:val="24"/>
        </w:rPr>
      </w:pPr>
      <w:r>
        <w:rPr>
          <w:rFonts w:hint="eastAsia" w:ascii="宋体" w:hAnsi="宋体" w:eastAsia="宋体" w:cs="宋体"/>
          <w:b/>
          <w:bCs/>
          <w:color w:val="000000"/>
          <w:sz w:val="24"/>
          <w:szCs w:val="24"/>
          <w:lang w:bidi="ar"/>
        </w:rPr>
        <w:t>专业教室</w:t>
      </w:r>
      <w:r>
        <w:rPr>
          <w:rFonts w:hint="eastAsia" w:ascii="宋体" w:hAnsi="宋体" w:eastAsia="宋体" w:cs="宋体"/>
          <w:color w:val="000000"/>
          <w:sz w:val="24"/>
          <w:szCs w:val="24"/>
          <w:lang w:bidi="ar"/>
        </w:rPr>
        <w:t xml:space="preserve"> </w:t>
      </w:r>
    </w:p>
    <w:p w14:paraId="6A7769A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具备利用信息化手段开展混合式教学的条件。配备黑（白）板、多媒体计算机、投影设备、音响设备，具有互联网接入或无线网络环境及网络安全防护措施。安装应急照明装置并保持良好状态，符合紧急疏散要求，安防标志明显，保持逃生通道畅通无阻。</w:t>
      </w:r>
    </w:p>
    <w:p w14:paraId="599FF82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sz w:val="24"/>
          <w:szCs w:val="24"/>
        </w:rPr>
      </w:pPr>
      <w:r>
        <w:rPr>
          <w:rFonts w:hint="eastAsia" w:ascii="宋体" w:hAnsi="宋体" w:eastAsia="宋体" w:cs="宋体"/>
          <w:b/>
          <w:bCs/>
          <w:color w:val="000000"/>
          <w:sz w:val="24"/>
          <w:szCs w:val="24"/>
          <w:lang w:bidi="ar"/>
        </w:rPr>
        <w:t>校内外实验、实训场所</w:t>
      </w:r>
      <w:r>
        <w:rPr>
          <w:rFonts w:hint="eastAsia" w:ascii="宋体" w:hAnsi="宋体" w:eastAsia="宋体" w:cs="宋体"/>
          <w:color w:val="000000"/>
          <w:sz w:val="24"/>
          <w:szCs w:val="24"/>
          <w:lang w:bidi="ar"/>
        </w:rPr>
        <w:t xml:space="preserve"> </w:t>
      </w:r>
    </w:p>
    <w:p w14:paraId="5DC2141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实验、实训场所面积、设备设施、安全、环境、管理等符合教育部有关标准（规定、办法），实训项目注重工学结合、理实一体化，实验、实训指导教师配备合理，实验、实训管理及实施规章制度齐，确保能够顺利开展维修电工、电子装配与焊接、钳工等实验、实训活动。 </w:t>
      </w:r>
    </w:p>
    <w:p w14:paraId="615819F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sz w:val="24"/>
          <w:szCs w:val="24"/>
        </w:rPr>
      </w:pPr>
      <w:r>
        <w:rPr>
          <w:rFonts w:hint="eastAsia" w:ascii="宋体" w:hAnsi="宋体" w:eastAsia="宋体" w:cs="宋体"/>
          <w:b/>
          <w:bCs/>
          <w:color w:val="000000"/>
          <w:sz w:val="24"/>
          <w:szCs w:val="24"/>
          <w:lang w:bidi="ar"/>
        </w:rPr>
        <w:t>维修电工实训室：</w:t>
      </w:r>
      <w:r>
        <w:rPr>
          <w:rFonts w:hint="eastAsia" w:ascii="宋体" w:hAnsi="宋体" w:eastAsia="宋体" w:cs="宋体"/>
          <w:color w:val="000000"/>
          <w:sz w:val="24"/>
          <w:szCs w:val="24"/>
          <w:lang w:bidi="ar"/>
        </w:rPr>
        <w:t xml:space="preserve">配备电气安装与维修实训装置、三相交流异步电动机、单相电容起动电动机，以及配套设备套件、器材、工具等设备设施，用于维修电工综合实训等实训教学。 </w:t>
      </w:r>
    </w:p>
    <w:p w14:paraId="7B19656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color w:val="000000"/>
          <w:sz w:val="24"/>
          <w:szCs w:val="24"/>
          <w:lang w:bidi="ar"/>
        </w:rPr>
        <w:t xml:space="preserve">    </w:t>
      </w:r>
      <w:r>
        <w:rPr>
          <w:rFonts w:hint="eastAsia" w:ascii="宋体" w:hAnsi="宋体" w:eastAsia="宋体" w:cs="宋体"/>
          <w:b/>
          <w:bCs/>
          <w:color w:val="000000"/>
          <w:sz w:val="24"/>
          <w:szCs w:val="24"/>
          <w:lang w:bidi="ar"/>
        </w:rPr>
        <w:t>电工电子技术实训室：</w:t>
      </w:r>
      <w:r>
        <w:rPr>
          <w:rFonts w:hint="eastAsia" w:ascii="宋体" w:hAnsi="宋体" w:eastAsia="宋体" w:cs="宋体"/>
          <w:color w:val="000000"/>
          <w:sz w:val="24"/>
          <w:szCs w:val="24"/>
          <w:lang w:bidi="ar"/>
        </w:rPr>
        <w:t xml:space="preserve">配备电工综合实训装置、电子综合实训装置、各种类型的传感器、万用表、交流毫伏表、函数信号发生器、双踪示波器、直流稳压电源等设备设施，用于电工电子技术、传感器检测技术、PLC 控制等实训教学。 </w:t>
      </w:r>
    </w:p>
    <w:p w14:paraId="64FA297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sz w:val="24"/>
          <w:szCs w:val="24"/>
        </w:rPr>
      </w:pPr>
      <w:r>
        <w:rPr>
          <w:rFonts w:hint="eastAsia" w:ascii="宋体" w:hAnsi="宋体" w:eastAsia="宋体" w:cs="宋体"/>
          <w:b/>
          <w:bCs/>
          <w:color w:val="000000"/>
          <w:sz w:val="24"/>
          <w:szCs w:val="24"/>
          <w:lang w:bidi="ar"/>
        </w:rPr>
        <w:t>钳工实训室：</w:t>
      </w:r>
      <w:r>
        <w:rPr>
          <w:rFonts w:hint="eastAsia" w:ascii="宋体" w:hAnsi="宋体" w:eastAsia="宋体" w:cs="宋体"/>
          <w:color w:val="000000"/>
          <w:sz w:val="24"/>
          <w:szCs w:val="24"/>
          <w:lang w:bidi="ar"/>
        </w:rPr>
        <w:t xml:space="preserve">配备钳工工作台、台虎钳、台钻、砂轮机、划线平板、划线方箱，以及辅具、工具、量具等设备设施，用于钳工综合实训等实训教学。 </w:t>
      </w:r>
    </w:p>
    <w:p w14:paraId="5C34297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color w:val="000000"/>
          <w:sz w:val="24"/>
          <w:szCs w:val="24"/>
          <w:lang w:bidi="ar"/>
        </w:rPr>
        <w:t xml:space="preserve">    </w:t>
      </w:r>
      <w:r>
        <w:rPr>
          <w:rFonts w:hint="eastAsia" w:ascii="宋体" w:hAnsi="宋体" w:eastAsia="宋体" w:cs="宋体"/>
          <w:b/>
          <w:bCs/>
          <w:color w:val="000000"/>
          <w:sz w:val="24"/>
          <w:szCs w:val="24"/>
          <w:lang w:bidi="ar"/>
        </w:rPr>
        <w:t>零件测绘、机械拆装与测绘实训室：</w:t>
      </w:r>
      <w:r>
        <w:rPr>
          <w:rFonts w:hint="eastAsia" w:ascii="宋体" w:hAnsi="宋体" w:eastAsia="宋体" w:cs="宋体"/>
          <w:color w:val="000000"/>
          <w:sz w:val="24"/>
          <w:szCs w:val="24"/>
          <w:lang w:bidi="ar"/>
        </w:rPr>
        <w:t xml:space="preserve">配备减速器实物或模型、相应的拆装和测绘工具等设备设施，配备计算机及计算机绘图等实训教学。 </w:t>
      </w:r>
    </w:p>
    <w:p w14:paraId="52E7B61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color w:val="000000"/>
          <w:sz w:val="24"/>
          <w:szCs w:val="24"/>
          <w:lang w:bidi="ar"/>
        </w:rPr>
        <w:t xml:space="preserve">    </w:t>
      </w:r>
      <w:r>
        <w:rPr>
          <w:rFonts w:hint="eastAsia" w:ascii="宋体" w:hAnsi="宋体" w:eastAsia="宋体" w:cs="宋体"/>
          <w:b/>
          <w:bCs/>
          <w:color w:val="000000"/>
          <w:sz w:val="24"/>
          <w:szCs w:val="24"/>
          <w:lang w:bidi="ar"/>
        </w:rPr>
        <w:t>机械加工实训室：</w:t>
      </w:r>
      <w:r>
        <w:rPr>
          <w:rFonts w:hint="eastAsia" w:ascii="宋体" w:hAnsi="宋体" w:eastAsia="宋体" w:cs="宋体"/>
          <w:color w:val="000000"/>
          <w:sz w:val="24"/>
          <w:szCs w:val="24"/>
          <w:lang w:bidi="ar"/>
        </w:rPr>
        <w:t xml:space="preserve">配备卧式车床、数控车床、数控铣床、分度头、平口虎钳、砂轮机，以及辅具、工具、量具等设备设施，用于数控加工与编程等实训教学。 </w:t>
      </w:r>
    </w:p>
    <w:p w14:paraId="25981B8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color w:val="000000"/>
          <w:sz w:val="24"/>
          <w:szCs w:val="24"/>
          <w:lang w:bidi="ar"/>
        </w:rPr>
        <w:t xml:space="preserve">    </w:t>
      </w:r>
      <w:r>
        <w:rPr>
          <w:rFonts w:hint="eastAsia" w:ascii="宋体" w:hAnsi="宋体" w:eastAsia="宋体" w:cs="宋体"/>
          <w:b/>
          <w:bCs/>
          <w:color w:val="000000"/>
          <w:sz w:val="24"/>
          <w:szCs w:val="24"/>
          <w:lang w:bidi="ar"/>
        </w:rPr>
        <w:t>气动与液压实训室：</w:t>
      </w:r>
      <w:r>
        <w:rPr>
          <w:rFonts w:hint="eastAsia" w:ascii="宋体" w:hAnsi="宋体" w:eastAsia="宋体" w:cs="宋体"/>
          <w:color w:val="000000"/>
          <w:sz w:val="24"/>
          <w:szCs w:val="24"/>
          <w:lang w:bidi="ar"/>
        </w:rPr>
        <w:t xml:space="preserve"> 配备气动实验实训平台、液压实验实训平台等，同时配备相应数量的元件等设备设施，用于气动与液压技术等实训教学。 </w:t>
      </w:r>
    </w:p>
    <w:p w14:paraId="7B77B3C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b/>
          <w:bCs/>
          <w:color w:val="000000"/>
          <w:sz w:val="24"/>
          <w:szCs w:val="24"/>
          <w:lang w:bidi="ar"/>
        </w:rPr>
      </w:pPr>
      <w:r>
        <w:rPr>
          <w:rFonts w:hint="eastAsia" w:ascii="宋体" w:hAnsi="宋体" w:eastAsia="宋体" w:cs="宋体"/>
          <w:color w:val="000000"/>
          <w:sz w:val="24"/>
          <w:szCs w:val="24"/>
          <w:lang w:bidi="ar"/>
        </w:rPr>
        <w:t xml:space="preserve">    </w:t>
      </w:r>
      <w:r>
        <w:rPr>
          <w:rFonts w:hint="eastAsia" w:ascii="宋体" w:hAnsi="宋体" w:eastAsia="宋体" w:cs="宋体"/>
          <w:b/>
          <w:bCs/>
          <w:color w:val="000000"/>
          <w:sz w:val="24"/>
          <w:szCs w:val="24"/>
          <w:lang w:bidi="ar"/>
        </w:rPr>
        <w:t xml:space="preserve">实习场所： </w:t>
      </w:r>
    </w:p>
    <w:p w14:paraId="5FEEE55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符合《职业学校学生实习管理规定》《职业学校校企合作促进办法》等对实习单位的有关要求，经实地考察后，确定合法经营、管理规范，实习条件完备且符合产业发展实际、符合安全生产法律法规要求，与学校建立稳定合作关系的单位成为实习基地，并签署学校、学生、实习单位三方协议。 </w:t>
      </w:r>
    </w:p>
    <w:p w14:paraId="709049D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根据本专业人才培养的需要和未来就业需求，实习基地应能提供机电设备安装与调试、自动化生产线运行、机电产品维修等领域装配钳工、电工、机修钳工等与专业对口的相关实习岗位，能涵盖当前相关产业发展的主流技术，可接纳一定规模的学生实习；学校和实习单位双方共同制订实习计划，能够配备相应数量的指导教师对学生实习进行指导和管理，实习单位安排有经验的技术或管理人员担任实习指导教师，开展专业教学和职业技能训练，完成实习质量评价，做好学生实习服务和管理工作，有保证实习学生日常工作、学习、生活的规章制度，有安全、保险保障，依法依规保障学生的基本权益。</w:t>
      </w:r>
    </w:p>
    <w:p w14:paraId="7758716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b/>
          <w:bCs/>
          <w:color w:val="000000"/>
          <w:sz w:val="24"/>
          <w:szCs w:val="24"/>
        </w:rPr>
        <w:t>（2）教学资源：</w:t>
      </w:r>
    </w:p>
    <w:p w14:paraId="74DC941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主要包括能够满足学生专业学习、教师专业教学研究和教学实施需要的教材、图书及数字化资源等。</w:t>
      </w:r>
    </w:p>
    <w:p w14:paraId="10A69D9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sz w:val="24"/>
          <w:szCs w:val="24"/>
        </w:rPr>
      </w:pPr>
      <w:r>
        <w:rPr>
          <w:rFonts w:hint="eastAsia" w:ascii="宋体" w:hAnsi="宋体" w:eastAsia="宋体" w:cs="宋体"/>
          <w:b/>
          <w:bCs/>
          <w:color w:val="000000"/>
          <w:sz w:val="24"/>
          <w:szCs w:val="24"/>
          <w:lang w:bidi="ar"/>
        </w:rPr>
        <w:t>教材选用方面：</w:t>
      </w:r>
    </w:p>
    <w:p w14:paraId="4C3BCFD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 xml:space="preserve">按照国家规定，经过规范程序选用教材，优先选用国家规划教材和国家优秀教材。专业课程教材体现本行业新技术、新规范、新标准、新形态，并通过数字教材、活页式教材等多种方式进行动态更新。 </w:t>
      </w:r>
    </w:p>
    <w:p w14:paraId="074E462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部分专业课教材选用情况：</w:t>
      </w:r>
    </w:p>
    <w:tbl>
      <w:tblPr>
        <w:tblStyle w:val="9"/>
        <w:tblW w:w="89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3000"/>
        <w:gridCol w:w="1525"/>
        <w:gridCol w:w="1575"/>
        <w:gridCol w:w="2262"/>
      </w:tblGrid>
      <w:tr w14:paraId="42D7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7DB5316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序号</w:t>
            </w:r>
          </w:p>
        </w:tc>
        <w:tc>
          <w:tcPr>
            <w:tcW w:w="3000" w:type="dxa"/>
            <w:noWrap w:val="0"/>
            <w:vAlign w:val="center"/>
          </w:tcPr>
          <w:p w14:paraId="3C80C93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主要课程选用教材名称</w:t>
            </w:r>
          </w:p>
        </w:tc>
        <w:tc>
          <w:tcPr>
            <w:tcW w:w="1525" w:type="dxa"/>
            <w:noWrap w:val="0"/>
            <w:vAlign w:val="center"/>
          </w:tcPr>
          <w:p w14:paraId="7D356EB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主  编</w:t>
            </w:r>
          </w:p>
        </w:tc>
        <w:tc>
          <w:tcPr>
            <w:tcW w:w="1575" w:type="dxa"/>
            <w:noWrap w:val="0"/>
            <w:vAlign w:val="center"/>
          </w:tcPr>
          <w:p w14:paraId="7FB2F10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出 版 社</w:t>
            </w:r>
          </w:p>
        </w:tc>
        <w:tc>
          <w:tcPr>
            <w:tcW w:w="2262" w:type="dxa"/>
            <w:noWrap w:val="0"/>
            <w:vAlign w:val="center"/>
          </w:tcPr>
          <w:p w14:paraId="2D33D0B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书 刊 号</w:t>
            </w:r>
          </w:p>
        </w:tc>
      </w:tr>
      <w:tr w14:paraId="0438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6658538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3000" w:type="dxa"/>
            <w:noWrap w:val="0"/>
            <w:vAlign w:val="center"/>
          </w:tcPr>
          <w:p w14:paraId="282A06A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物理（通用类）（修订版）</w:t>
            </w:r>
          </w:p>
        </w:tc>
        <w:tc>
          <w:tcPr>
            <w:tcW w:w="1525" w:type="dxa"/>
            <w:noWrap w:val="0"/>
            <w:vAlign w:val="center"/>
          </w:tcPr>
          <w:p w14:paraId="106129D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教材发展研究所</w:t>
            </w:r>
          </w:p>
        </w:tc>
        <w:tc>
          <w:tcPr>
            <w:tcW w:w="1575" w:type="dxa"/>
            <w:noWrap w:val="0"/>
            <w:vAlign w:val="center"/>
          </w:tcPr>
          <w:p w14:paraId="1A4F337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center"/>
          </w:tcPr>
          <w:p w14:paraId="7B061F3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978-7-04-060684-3</w:t>
            </w:r>
          </w:p>
        </w:tc>
      </w:tr>
      <w:tr w14:paraId="46BF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2BFB643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3000" w:type="dxa"/>
            <w:noWrap w:val="0"/>
            <w:vAlign w:val="center"/>
          </w:tcPr>
          <w:p w14:paraId="69F1295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lang w:bidi="ar"/>
              </w:rPr>
              <w:t>化学（通用类）（修订版）</w:t>
            </w:r>
          </w:p>
        </w:tc>
        <w:tc>
          <w:tcPr>
            <w:tcW w:w="1525" w:type="dxa"/>
            <w:noWrap w:val="0"/>
            <w:vAlign w:val="center"/>
          </w:tcPr>
          <w:p w14:paraId="25316A3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教材发展研究所</w:t>
            </w:r>
          </w:p>
        </w:tc>
        <w:tc>
          <w:tcPr>
            <w:tcW w:w="1575" w:type="dxa"/>
            <w:noWrap w:val="0"/>
            <w:vAlign w:val="center"/>
          </w:tcPr>
          <w:p w14:paraId="3FA558F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center"/>
          </w:tcPr>
          <w:p w14:paraId="233B8F6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978-7-04-060681-2</w:t>
            </w:r>
          </w:p>
        </w:tc>
      </w:tr>
      <w:tr w14:paraId="288B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5524608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3000" w:type="dxa"/>
            <w:noWrap w:val="0"/>
            <w:vAlign w:val="center"/>
          </w:tcPr>
          <w:p w14:paraId="206D811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机械制图（第5版）（双色）</w:t>
            </w:r>
          </w:p>
        </w:tc>
        <w:tc>
          <w:tcPr>
            <w:tcW w:w="1525" w:type="dxa"/>
            <w:noWrap w:val="0"/>
            <w:vAlign w:val="center"/>
          </w:tcPr>
          <w:p w14:paraId="2962354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王幼龙</w:t>
            </w:r>
            <w:r>
              <w:rPr>
                <w:rStyle w:val="13"/>
                <w:rFonts w:hint="eastAsia" w:ascii="宋体" w:hAnsi="宋体" w:eastAsia="宋体" w:cs="宋体"/>
                <w:sz w:val="21"/>
                <w:szCs w:val="21"/>
                <w:lang w:bidi="ar"/>
              </w:rPr>
              <w:t xml:space="preserve"> 孙簃</w:t>
            </w:r>
          </w:p>
        </w:tc>
        <w:tc>
          <w:tcPr>
            <w:tcW w:w="1575" w:type="dxa"/>
            <w:noWrap w:val="0"/>
            <w:vAlign w:val="center"/>
          </w:tcPr>
          <w:p w14:paraId="11DB27B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center"/>
          </w:tcPr>
          <w:p w14:paraId="5807443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ISBN 978-7-04-054981-2</w:t>
            </w:r>
          </w:p>
        </w:tc>
      </w:tr>
      <w:tr w14:paraId="7D999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6E6CA07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3000" w:type="dxa"/>
            <w:noWrap w:val="0"/>
            <w:vAlign w:val="center"/>
          </w:tcPr>
          <w:p w14:paraId="7E889D5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机械基础 第3版</w:t>
            </w:r>
          </w:p>
        </w:tc>
        <w:tc>
          <w:tcPr>
            <w:tcW w:w="1525" w:type="dxa"/>
            <w:noWrap w:val="0"/>
            <w:vAlign w:val="center"/>
          </w:tcPr>
          <w:p w14:paraId="200BBC6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李世维 顾淑群</w:t>
            </w:r>
          </w:p>
        </w:tc>
        <w:tc>
          <w:tcPr>
            <w:tcW w:w="1575" w:type="dxa"/>
            <w:noWrap w:val="0"/>
            <w:vAlign w:val="center"/>
          </w:tcPr>
          <w:p w14:paraId="5101CDF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center"/>
          </w:tcPr>
          <w:p w14:paraId="3342D1B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978-7-04-054871-6</w:t>
            </w:r>
          </w:p>
        </w:tc>
      </w:tr>
      <w:tr w14:paraId="6F38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396A177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3000" w:type="dxa"/>
            <w:noWrap w:val="0"/>
            <w:vAlign w:val="center"/>
          </w:tcPr>
          <w:p w14:paraId="718771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极限配合与技术测量(双色)</w:t>
            </w:r>
          </w:p>
        </w:tc>
        <w:tc>
          <w:tcPr>
            <w:tcW w:w="1525" w:type="dxa"/>
            <w:noWrap w:val="0"/>
            <w:vAlign w:val="center"/>
          </w:tcPr>
          <w:p w14:paraId="0D318B5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范梅梅，肖友才</w:t>
            </w:r>
          </w:p>
        </w:tc>
        <w:tc>
          <w:tcPr>
            <w:tcW w:w="1575" w:type="dxa"/>
            <w:noWrap w:val="0"/>
            <w:vAlign w:val="center"/>
          </w:tcPr>
          <w:p w14:paraId="7028814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top"/>
          </w:tcPr>
          <w:p w14:paraId="40DD831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top"/>
              <w:rPr>
                <w:rFonts w:hint="eastAsia" w:ascii="宋体" w:hAnsi="宋体" w:eastAsia="宋体" w:cs="宋体"/>
                <w:color w:val="000000"/>
                <w:sz w:val="21"/>
                <w:szCs w:val="21"/>
              </w:rPr>
            </w:pPr>
            <w:r>
              <w:rPr>
                <w:rFonts w:hint="eastAsia" w:ascii="宋体" w:hAnsi="宋体" w:eastAsia="宋体" w:cs="宋体"/>
                <w:color w:val="000000"/>
                <w:sz w:val="21"/>
                <w:szCs w:val="21"/>
                <w:lang w:bidi="ar"/>
              </w:rPr>
              <w:t>ISBN 978-7-04-042986-2</w:t>
            </w:r>
          </w:p>
        </w:tc>
      </w:tr>
      <w:tr w14:paraId="3219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6309EC3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3000" w:type="dxa"/>
            <w:noWrap w:val="0"/>
            <w:vAlign w:val="center"/>
          </w:tcPr>
          <w:p w14:paraId="26597B9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金属工艺学(第3版)(双色)</w:t>
            </w:r>
          </w:p>
        </w:tc>
        <w:tc>
          <w:tcPr>
            <w:tcW w:w="1525" w:type="dxa"/>
            <w:noWrap w:val="0"/>
            <w:vAlign w:val="center"/>
          </w:tcPr>
          <w:p w14:paraId="7C3E8A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郁兆昌</w:t>
            </w:r>
          </w:p>
        </w:tc>
        <w:tc>
          <w:tcPr>
            <w:tcW w:w="1575" w:type="dxa"/>
            <w:noWrap w:val="0"/>
            <w:vAlign w:val="center"/>
          </w:tcPr>
          <w:p w14:paraId="1E1B866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top"/>
          </w:tcPr>
          <w:p w14:paraId="1B3554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top"/>
              <w:rPr>
                <w:rFonts w:hint="eastAsia" w:ascii="宋体" w:hAnsi="宋体" w:eastAsia="宋体" w:cs="宋体"/>
                <w:color w:val="000000"/>
                <w:sz w:val="21"/>
                <w:szCs w:val="21"/>
              </w:rPr>
            </w:pPr>
            <w:r>
              <w:rPr>
                <w:rFonts w:hint="eastAsia" w:ascii="宋体" w:hAnsi="宋体" w:eastAsia="宋体" w:cs="宋体"/>
                <w:color w:val="000000"/>
                <w:sz w:val="21"/>
                <w:szCs w:val="21"/>
                <w:lang w:bidi="ar"/>
              </w:rPr>
              <w:t>ISBN 978-7-04-059369-3</w:t>
            </w:r>
          </w:p>
        </w:tc>
      </w:tr>
      <w:tr w14:paraId="74B6F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58AA8B0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3000" w:type="dxa"/>
            <w:noWrap w:val="0"/>
            <w:vAlign w:val="center"/>
          </w:tcPr>
          <w:p w14:paraId="6723C38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电工技术基础与技能实训(第2版)</w:t>
            </w:r>
          </w:p>
        </w:tc>
        <w:tc>
          <w:tcPr>
            <w:tcW w:w="1525" w:type="dxa"/>
            <w:noWrap w:val="0"/>
            <w:vAlign w:val="center"/>
          </w:tcPr>
          <w:p w14:paraId="378BEE6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沈  林</w:t>
            </w:r>
          </w:p>
        </w:tc>
        <w:tc>
          <w:tcPr>
            <w:tcW w:w="1575" w:type="dxa"/>
            <w:noWrap w:val="0"/>
            <w:vAlign w:val="center"/>
          </w:tcPr>
          <w:p w14:paraId="2713B81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center"/>
          </w:tcPr>
          <w:p w14:paraId="36059F5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978-7-04-043528-3</w:t>
            </w:r>
          </w:p>
        </w:tc>
      </w:tr>
      <w:tr w14:paraId="66126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1D57C8A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3000" w:type="dxa"/>
            <w:noWrap w:val="0"/>
            <w:vAlign w:val="center"/>
          </w:tcPr>
          <w:p w14:paraId="5D4F18E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机械制图AutoCAD实训教程</w:t>
            </w:r>
          </w:p>
        </w:tc>
        <w:tc>
          <w:tcPr>
            <w:tcW w:w="1525" w:type="dxa"/>
            <w:noWrap w:val="0"/>
            <w:vAlign w:val="center"/>
          </w:tcPr>
          <w:p w14:paraId="0329250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张宏彬 赵  伟</w:t>
            </w:r>
          </w:p>
        </w:tc>
        <w:tc>
          <w:tcPr>
            <w:tcW w:w="1575" w:type="dxa"/>
            <w:noWrap w:val="0"/>
            <w:vAlign w:val="center"/>
          </w:tcPr>
          <w:p w14:paraId="38BBED1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center"/>
          </w:tcPr>
          <w:p w14:paraId="0775D30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978-7-04-057322-0</w:t>
            </w:r>
          </w:p>
        </w:tc>
      </w:tr>
      <w:tr w14:paraId="4679A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center"/>
          </w:tcPr>
          <w:p w14:paraId="6DEA770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3000" w:type="dxa"/>
            <w:noWrap w:val="0"/>
            <w:vAlign w:val="center"/>
          </w:tcPr>
          <w:p w14:paraId="3AFF1E9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xml:space="preserve"> 电子技术基础  (第2版）</w:t>
            </w:r>
          </w:p>
        </w:tc>
        <w:tc>
          <w:tcPr>
            <w:tcW w:w="1525" w:type="dxa"/>
            <w:noWrap w:val="0"/>
            <w:vAlign w:val="center"/>
          </w:tcPr>
          <w:p w14:paraId="221EAA1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张龙兴</w:t>
            </w:r>
          </w:p>
        </w:tc>
        <w:tc>
          <w:tcPr>
            <w:tcW w:w="1575" w:type="dxa"/>
            <w:noWrap w:val="0"/>
            <w:vAlign w:val="center"/>
          </w:tcPr>
          <w:p w14:paraId="3AA0DA5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center"/>
          </w:tcPr>
          <w:p w14:paraId="146755C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978-7-04-057432-6</w:t>
            </w:r>
          </w:p>
        </w:tc>
      </w:tr>
      <w:tr w14:paraId="1F8B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591" w:type="dxa"/>
            <w:noWrap w:val="0"/>
            <w:vAlign w:val="top"/>
          </w:tcPr>
          <w:p w14:paraId="7C383F1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3000" w:type="dxa"/>
            <w:noWrap w:val="0"/>
            <w:vAlign w:val="center"/>
          </w:tcPr>
          <w:p w14:paraId="13D03BF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液压与气压传动 (第3版)</w:t>
            </w:r>
          </w:p>
        </w:tc>
        <w:tc>
          <w:tcPr>
            <w:tcW w:w="1525" w:type="dxa"/>
            <w:noWrap w:val="0"/>
            <w:vAlign w:val="center"/>
          </w:tcPr>
          <w:p w14:paraId="3D2A60F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杨光龙，兰建设</w:t>
            </w:r>
          </w:p>
        </w:tc>
        <w:tc>
          <w:tcPr>
            <w:tcW w:w="1575" w:type="dxa"/>
            <w:noWrap w:val="0"/>
            <w:vAlign w:val="center"/>
          </w:tcPr>
          <w:p w14:paraId="29993AB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center"/>
          </w:tcPr>
          <w:p w14:paraId="7226752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978-7-04-055970-5</w:t>
            </w:r>
          </w:p>
        </w:tc>
      </w:tr>
      <w:tr w14:paraId="0252F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top"/>
          </w:tcPr>
          <w:p w14:paraId="3A14566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3000" w:type="dxa"/>
            <w:noWrap w:val="0"/>
            <w:vAlign w:val="center"/>
          </w:tcPr>
          <w:p w14:paraId="48DA22B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PLC应用技术（第2版）</w:t>
            </w:r>
          </w:p>
        </w:tc>
        <w:tc>
          <w:tcPr>
            <w:tcW w:w="1525" w:type="dxa"/>
            <w:noWrap w:val="0"/>
            <w:vAlign w:val="center"/>
          </w:tcPr>
          <w:p w14:paraId="220C6D0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周建清</w:t>
            </w:r>
          </w:p>
        </w:tc>
        <w:tc>
          <w:tcPr>
            <w:tcW w:w="1575" w:type="dxa"/>
            <w:noWrap w:val="0"/>
            <w:vAlign w:val="center"/>
          </w:tcPr>
          <w:p w14:paraId="00A93CA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机械工业出版社</w:t>
            </w:r>
          </w:p>
        </w:tc>
        <w:tc>
          <w:tcPr>
            <w:tcW w:w="2262" w:type="dxa"/>
            <w:noWrap w:val="0"/>
            <w:vAlign w:val="center"/>
          </w:tcPr>
          <w:p w14:paraId="169FC54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978-7-1116-0533-1</w:t>
            </w:r>
          </w:p>
        </w:tc>
      </w:tr>
      <w:tr w14:paraId="32053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top"/>
          </w:tcPr>
          <w:p w14:paraId="77127B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3000" w:type="dxa"/>
            <w:noWrap w:val="0"/>
            <w:vAlign w:val="center"/>
          </w:tcPr>
          <w:p w14:paraId="2353650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传感器技术及其应用（第3版）</w:t>
            </w:r>
          </w:p>
        </w:tc>
        <w:tc>
          <w:tcPr>
            <w:tcW w:w="1525" w:type="dxa"/>
            <w:noWrap w:val="0"/>
            <w:vAlign w:val="center"/>
          </w:tcPr>
          <w:p w14:paraId="23ED55B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陈黎敏</w:t>
            </w:r>
          </w:p>
        </w:tc>
        <w:tc>
          <w:tcPr>
            <w:tcW w:w="1575" w:type="dxa"/>
            <w:noWrap w:val="0"/>
            <w:vAlign w:val="center"/>
          </w:tcPr>
          <w:p w14:paraId="56D467F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机械工业出版社</w:t>
            </w:r>
          </w:p>
        </w:tc>
        <w:tc>
          <w:tcPr>
            <w:tcW w:w="2262" w:type="dxa"/>
            <w:noWrap w:val="0"/>
            <w:vAlign w:val="center"/>
          </w:tcPr>
          <w:p w14:paraId="4E224B3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978-7-1116-8179-3</w:t>
            </w:r>
          </w:p>
        </w:tc>
      </w:tr>
      <w:tr w14:paraId="4762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591" w:type="dxa"/>
            <w:noWrap w:val="0"/>
            <w:vAlign w:val="top"/>
          </w:tcPr>
          <w:p w14:paraId="59E254D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13</w:t>
            </w:r>
          </w:p>
        </w:tc>
        <w:tc>
          <w:tcPr>
            <w:tcW w:w="3000" w:type="dxa"/>
            <w:noWrap w:val="0"/>
            <w:vAlign w:val="center"/>
          </w:tcPr>
          <w:p w14:paraId="5C1D354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color w:val="000000"/>
                <w:sz w:val="21"/>
                <w:szCs w:val="21"/>
              </w:rPr>
              <w:t>《电机与变压器》</w:t>
            </w:r>
          </w:p>
        </w:tc>
        <w:tc>
          <w:tcPr>
            <w:tcW w:w="1525" w:type="dxa"/>
            <w:noWrap w:val="0"/>
            <w:vAlign w:val="top"/>
          </w:tcPr>
          <w:p w14:paraId="1BA175D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赵承荻</w:t>
            </w:r>
          </w:p>
        </w:tc>
        <w:tc>
          <w:tcPr>
            <w:tcW w:w="1575" w:type="dxa"/>
            <w:noWrap w:val="0"/>
            <w:vAlign w:val="top"/>
          </w:tcPr>
          <w:p w14:paraId="330ACBD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高等教育出版社</w:t>
            </w:r>
          </w:p>
        </w:tc>
        <w:tc>
          <w:tcPr>
            <w:tcW w:w="2262" w:type="dxa"/>
            <w:noWrap w:val="0"/>
            <w:vAlign w:val="top"/>
          </w:tcPr>
          <w:p w14:paraId="49061AE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978-7-04-035094-4</w:t>
            </w:r>
          </w:p>
        </w:tc>
      </w:tr>
      <w:tr w14:paraId="5284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591" w:type="dxa"/>
            <w:noWrap w:val="0"/>
            <w:vAlign w:val="top"/>
          </w:tcPr>
          <w:p w14:paraId="1C7D5C3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14</w:t>
            </w:r>
          </w:p>
        </w:tc>
        <w:tc>
          <w:tcPr>
            <w:tcW w:w="3000" w:type="dxa"/>
            <w:noWrap w:val="0"/>
            <w:vAlign w:val="center"/>
          </w:tcPr>
          <w:p w14:paraId="2288DE3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自动化生产线安装调试</w:t>
            </w:r>
          </w:p>
        </w:tc>
        <w:tc>
          <w:tcPr>
            <w:tcW w:w="1525" w:type="dxa"/>
            <w:noWrap w:val="0"/>
            <w:vAlign w:val="top"/>
          </w:tcPr>
          <w:p w14:paraId="7ED735C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魏国莲 辛顺强</w:t>
            </w:r>
          </w:p>
        </w:tc>
        <w:tc>
          <w:tcPr>
            <w:tcW w:w="1575" w:type="dxa"/>
            <w:noWrap w:val="0"/>
            <w:vAlign w:val="top"/>
          </w:tcPr>
          <w:p w14:paraId="59C0495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哈尔滨工业大学</w:t>
            </w:r>
          </w:p>
        </w:tc>
        <w:tc>
          <w:tcPr>
            <w:tcW w:w="2262" w:type="dxa"/>
            <w:noWrap w:val="0"/>
            <w:vAlign w:val="top"/>
          </w:tcPr>
          <w:p w14:paraId="05D15D7A">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978-7-5661-3846-0</w:t>
            </w:r>
          </w:p>
        </w:tc>
      </w:tr>
      <w:tr w14:paraId="7743F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91" w:type="dxa"/>
            <w:noWrap w:val="0"/>
            <w:vAlign w:val="top"/>
          </w:tcPr>
          <w:p w14:paraId="1CEAAA8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15</w:t>
            </w:r>
          </w:p>
        </w:tc>
        <w:tc>
          <w:tcPr>
            <w:tcW w:w="3000" w:type="dxa"/>
            <w:noWrap w:val="0"/>
            <w:vAlign w:val="center"/>
          </w:tcPr>
          <w:p w14:paraId="1A11D324">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《机械设备安装工艺》 第2版</w:t>
            </w:r>
          </w:p>
        </w:tc>
        <w:tc>
          <w:tcPr>
            <w:tcW w:w="1525" w:type="dxa"/>
            <w:noWrap w:val="0"/>
            <w:vAlign w:val="top"/>
          </w:tcPr>
          <w:p w14:paraId="617617D3">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张忠旭</w:t>
            </w:r>
          </w:p>
        </w:tc>
        <w:tc>
          <w:tcPr>
            <w:tcW w:w="1575" w:type="dxa"/>
            <w:noWrap w:val="0"/>
            <w:vAlign w:val="top"/>
          </w:tcPr>
          <w:p w14:paraId="312971D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机械工业出版社</w:t>
            </w:r>
          </w:p>
        </w:tc>
        <w:tc>
          <w:tcPr>
            <w:tcW w:w="2262" w:type="dxa"/>
            <w:noWrap w:val="0"/>
            <w:vAlign w:val="top"/>
          </w:tcPr>
          <w:p w14:paraId="27EB2D4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ISBN 978-7-1110-9665-8</w:t>
            </w:r>
          </w:p>
        </w:tc>
      </w:tr>
      <w:tr w14:paraId="1BEA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1" w:type="dxa"/>
            <w:noWrap w:val="0"/>
            <w:vAlign w:val="top"/>
          </w:tcPr>
          <w:p w14:paraId="3F433B7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w:t>
            </w:r>
          </w:p>
        </w:tc>
        <w:tc>
          <w:tcPr>
            <w:tcW w:w="3000" w:type="dxa"/>
            <w:noWrap w:val="0"/>
            <w:vAlign w:val="center"/>
          </w:tcPr>
          <w:p w14:paraId="32F95D2A">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通用机械设备(机电设备安装维修)</w:t>
            </w:r>
          </w:p>
        </w:tc>
        <w:tc>
          <w:tcPr>
            <w:tcW w:w="1525" w:type="dxa"/>
            <w:noWrap w:val="0"/>
            <w:vAlign w:val="top"/>
          </w:tcPr>
          <w:p w14:paraId="6F5DFA4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sz w:val="21"/>
                <w:szCs w:val="21"/>
                <w:lang w:bidi="ar"/>
              </w:rPr>
              <w:t>曹根基</w:t>
            </w:r>
          </w:p>
        </w:tc>
        <w:tc>
          <w:tcPr>
            <w:tcW w:w="1575" w:type="dxa"/>
            <w:noWrap w:val="0"/>
            <w:vAlign w:val="top"/>
          </w:tcPr>
          <w:p w14:paraId="582C333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sz w:val="21"/>
                <w:szCs w:val="21"/>
                <w:lang w:bidi="ar"/>
              </w:rPr>
              <w:t>机械工业出版社</w:t>
            </w:r>
          </w:p>
        </w:tc>
        <w:tc>
          <w:tcPr>
            <w:tcW w:w="2262" w:type="dxa"/>
            <w:noWrap w:val="0"/>
            <w:vAlign w:val="top"/>
          </w:tcPr>
          <w:p w14:paraId="0817886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jc w:val="center"/>
              <w:textAlignment w:val="top"/>
              <w:rPr>
                <w:rFonts w:hint="eastAsia" w:ascii="宋体" w:hAnsi="宋体" w:eastAsia="宋体" w:cs="宋体"/>
                <w:sz w:val="21"/>
                <w:szCs w:val="21"/>
              </w:rPr>
            </w:pPr>
            <w:r>
              <w:rPr>
                <w:rFonts w:hint="eastAsia" w:ascii="宋体" w:hAnsi="宋体" w:eastAsia="宋体" w:cs="宋体"/>
                <w:color w:val="000000"/>
                <w:sz w:val="21"/>
                <w:szCs w:val="21"/>
                <w:lang w:bidi="ar"/>
              </w:rPr>
              <w:t>ISBN 978-7-1110-9697-9</w:t>
            </w:r>
          </w:p>
        </w:tc>
      </w:tr>
    </w:tbl>
    <w:p w14:paraId="1BB2BC7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p>
    <w:p w14:paraId="288154F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sz w:val="24"/>
          <w:szCs w:val="24"/>
        </w:rPr>
      </w:pPr>
      <w:r>
        <w:rPr>
          <w:rFonts w:hint="eastAsia" w:ascii="宋体" w:hAnsi="宋体" w:eastAsia="宋体" w:cs="宋体"/>
          <w:b/>
          <w:bCs/>
          <w:color w:val="000000"/>
          <w:sz w:val="24"/>
          <w:szCs w:val="24"/>
          <w:lang w:bidi="ar"/>
        </w:rPr>
        <w:t>图书文献配备情况：</w:t>
      </w:r>
      <w:r>
        <w:rPr>
          <w:rFonts w:hint="eastAsia" w:ascii="宋体" w:hAnsi="宋体" w:eastAsia="宋体" w:cs="宋体"/>
          <w:color w:val="000000"/>
          <w:sz w:val="24"/>
          <w:szCs w:val="24"/>
          <w:lang w:bidi="ar"/>
        </w:rPr>
        <w:t xml:space="preserve"> </w:t>
      </w:r>
    </w:p>
    <w:p w14:paraId="20C7F65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60" w:firstLineChars="200"/>
        <w:rPr>
          <w:rFonts w:hint="eastAsia" w:ascii="宋体" w:hAnsi="宋体" w:eastAsia="宋体" w:cs="宋体"/>
          <w:sz w:val="24"/>
          <w:szCs w:val="24"/>
        </w:rPr>
      </w:pPr>
      <w:r>
        <w:rPr>
          <w:rFonts w:hint="eastAsia" w:ascii="宋体" w:hAnsi="宋体" w:eastAsia="宋体" w:cs="宋体"/>
          <w:spacing w:val="-5"/>
          <w:sz w:val="24"/>
          <w:szCs w:val="24"/>
        </w:rPr>
        <w:t>图书馆配备相当数量的专业学习资</w:t>
      </w:r>
      <w:r>
        <w:rPr>
          <w:rFonts w:hint="eastAsia" w:ascii="宋体" w:hAnsi="宋体" w:eastAsia="宋体" w:cs="宋体"/>
          <w:spacing w:val="-2"/>
          <w:sz w:val="24"/>
          <w:szCs w:val="24"/>
        </w:rPr>
        <w:t>料，</w:t>
      </w:r>
      <w:r>
        <w:rPr>
          <w:rFonts w:hint="eastAsia" w:ascii="宋体" w:hAnsi="宋体" w:eastAsia="宋体" w:cs="宋体"/>
          <w:color w:val="000000"/>
          <w:sz w:val="24"/>
          <w:szCs w:val="24"/>
          <w:lang w:bidi="ar"/>
        </w:rPr>
        <w:t>图书文献配备能满足人才培养、专业建设、教科研等工作的需要。专业类图书文献主要包括：装备制造行业政策法规、行业标准、行业规范，以及机械工程手册、电气工程师手册；机电设备制造、机电一体化专业技术类图书和实务案例类图书等。及时配置新经济、新技术、新工艺、新材料、新管理方式、新服务方式等相关的图书文献。</w:t>
      </w:r>
    </w:p>
    <w:p w14:paraId="4364EE7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sz w:val="24"/>
          <w:szCs w:val="24"/>
        </w:rPr>
      </w:pPr>
      <w:r>
        <w:rPr>
          <w:rFonts w:hint="eastAsia" w:ascii="宋体" w:hAnsi="宋体" w:eastAsia="宋体" w:cs="宋体"/>
          <w:b/>
          <w:bCs/>
          <w:color w:val="000000"/>
          <w:sz w:val="24"/>
          <w:szCs w:val="24"/>
          <w:lang w:bidi="ar"/>
        </w:rPr>
        <w:t>数字教学资源配置情况：</w:t>
      </w:r>
      <w:r>
        <w:rPr>
          <w:rFonts w:hint="eastAsia" w:ascii="宋体" w:hAnsi="宋体" w:eastAsia="宋体" w:cs="宋体"/>
          <w:color w:val="000000"/>
          <w:sz w:val="24"/>
          <w:szCs w:val="24"/>
          <w:lang w:bidi="ar"/>
        </w:rPr>
        <w:t xml:space="preserve"> </w:t>
      </w:r>
    </w:p>
    <w:p w14:paraId="5A9414C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60" w:firstLineChars="200"/>
        <w:rPr>
          <w:rFonts w:hint="eastAsia" w:ascii="宋体" w:hAnsi="宋体" w:eastAsia="宋体" w:cs="宋体"/>
          <w:sz w:val="24"/>
          <w:szCs w:val="24"/>
        </w:rPr>
      </w:pPr>
      <w:r>
        <w:rPr>
          <w:rFonts w:hint="eastAsia" w:ascii="宋体" w:hAnsi="宋体" w:eastAsia="宋体" w:cs="宋体"/>
          <w:spacing w:val="-5"/>
          <w:sz w:val="24"/>
          <w:szCs w:val="24"/>
        </w:rPr>
        <w:t>学校已经建成的智慧校园、数字化教学资源库以及国家职业教育精品</w:t>
      </w:r>
      <w:r>
        <w:rPr>
          <w:rFonts w:hint="eastAsia" w:ascii="宋体" w:hAnsi="宋体" w:eastAsia="宋体" w:cs="宋体"/>
          <w:sz w:val="24"/>
          <w:szCs w:val="24"/>
        </w:rPr>
        <w:t>课程网络等服务教学。</w:t>
      </w:r>
      <w:r>
        <w:rPr>
          <w:rFonts w:hint="eastAsia" w:ascii="宋体" w:hAnsi="宋体" w:eastAsia="宋体" w:cs="宋体"/>
          <w:color w:val="000000"/>
          <w:sz w:val="24"/>
          <w:szCs w:val="24"/>
        </w:rPr>
        <w:t>校园宽带网覆盖学校全部教学场所和各管理部门，配有闭路电视教学系统，拥有数字语音室、多媒体电教室、电脑室等实训室。教学仪器总值1000余万元。图书馆藏书20多万册，配有电子阅览室。</w:t>
      </w:r>
      <w:r>
        <w:rPr>
          <w:rFonts w:hint="eastAsia" w:ascii="宋体" w:hAnsi="宋体" w:eastAsia="宋体" w:cs="宋体"/>
          <w:color w:val="000000"/>
          <w:sz w:val="24"/>
          <w:szCs w:val="24"/>
          <w:lang w:bidi="ar"/>
        </w:rPr>
        <w:t>配备与本专业有关的音视频素材、教学课件、数字化教学案例库、虚拟仿真软件等专业教学资源库，种类丰富、形式多样、使用便捷、动态更新、满足教学。</w:t>
      </w:r>
    </w:p>
    <w:p w14:paraId="61B6AF1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2" w:firstLineChars="200"/>
        <w:rPr>
          <w:rFonts w:hint="eastAsia" w:ascii="宋体" w:hAnsi="宋体" w:eastAsia="宋体" w:cs="宋体"/>
          <w:color w:val="000000"/>
          <w:sz w:val="24"/>
          <w:szCs w:val="24"/>
        </w:rPr>
      </w:pPr>
      <w:r>
        <w:rPr>
          <w:rFonts w:hint="eastAsia" w:ascii="宋体" w:hAnsi="宋体" w:eastAsia="宋体" w:cs="宋体"/>
          <w:b/>
          <w:bCs/>
          <w:color w:val="000000"/>
          <w:sz w:val="24"/>
          <w:szCs w:val="24"/>
        </w:rPr>
        <w:t>（3）教学方法：</w:t>
      </w:r>
    </w:p>
    <w:p w14:paraId="1A7D244D">
      <w:pPr>
        <w:keepNext w:val="0"/>
        <w:keepLines w:val="0"/>
        <w:pageBreakBefore w:val="0"/>
        <w:widowControl/>
        <w:tabs>
          <w:tab w:val="left" w:pos="5070"/>
        </w:tabs>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1、教学方法的选择要坚持“以学生为主体，以教师为主导，以活动项目为载体”原则，积极采用项目教学等方法，实施引导式教学。</w:t>
      </w:r>
    </w:p>
    <w:p w14:paraId="56FE8E2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2、在教学过程中，普及项目教学、案例教学、情境教学、模块化教学等教学方式，广泛运用启发式、探究式、讨论式、参与式等教学方法，推广翻转课堂、混合式教学、理实一体教学等新型教学模式，推动课堂教学革命，激励学生参与意识，增强课堂互动效果，培养学生分析问题、解决问题的能力。</w:t>
      </w:r>
    </w:p>
    <w:p w14:paraId="50D0617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60" w:firstLineChars="150"/>
        <w:rPr>
          <w:rFonts w:hint="eastAsia" w:ascii="宋体" w:hAnsi="宋体" w:eastAsia="宋体" w:cs="宋体"/>
          <w:color w:val="212529"/>
          <w:sz w:val="24"/>
          <w:szCs w:val="24"/>
        </w:rPr>
      </w:pPr>
      <w:r>
        <w:rPr>
          <w:rFonts w:hint="eastAsia" w:ascii="宋体" w:hAnsi="宋体" w:eastAsia="宋体" w:cs="宋体"/>
          <w:color w:val="212529"/>
          <w:sz w:val="24"/>
          <w:szCs w:val="24"/>
        </w:rPr>
        <w:t>专业技能课按照相应职业岗位（群）的能力要求，突出“做中学、做中教”的职业教育特色，结合项目教学、案例教学、任务教学、角色扮演、情境教学等方法，利用校内实训实习室和校外实训实习基地，将学生的自主学习、合作学习和教师的引导教学等教学组织形式有机结合起来。要保证学生有充分的动手训练时间，有意识地强化企业工作规范及安全生产知识，培养学生良好的团队合作精神及成本控制和环境保护意识。</w:t>
      </w:r>
    </w:p>
    <w:p w14:paraId="1FC2C3D1">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54" w:firstLineChars="147"/>
        <w:rPr>
          <w:rFonts w:hint="eastAsia" w:ascii="宋体" w:hAnsi="宋体" w:eastAsia="宋体" w:cs="宋体"/>
          <w:b/>
          <w:sz w:val="24"/>
          <w:szCs w:val="24"/>
        </w:rPr>
      </w:pPr>
      <w:r>
        <w:rPr>
          <w:rFonts w:hint="eastAsia" w:ascii="宋体" w:hAnsi="宋体" w:eastAsia="宋体" w:cs="宋体"/>
          <w:b/>
          <w:sz w:val="24"/>
          <w:szCs w:val="24"/>
        </w:rPr>
        <w:t>（三）学习评价</w:t>
      </w:r>
    </w:p>
    <w:p w14:paraId="65BD3026">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560"/>
        <w:rPr>
          <w:rFonts w:hint="eastAsia" w:ascii="宋体" w:hAnsi="宋体" w:eastAsia="宋体" w:cs="宋体"/>
          <w:sz w:val="24"/>
          <w:szCs w:val="24"/>
        </w:rPr>
      </w:pPr>
      <w:r>
        <w:rPr>
          <w:rFonts w:hint="eastAsia" w:ascii="宋体" w:hAnsi="宋体" w:eastAsia="宋体" w:cs="宋体"/>
          <w:sz w:val="24"/>
          <w:szCs w:val="24"/>
        </w:rPr>
        <w:t>对学生的学业评价要突出德育为首、能力为本理念，体现评价主体、评价方式、评价过程的多元化，即教师评价、学生相互评价与自我评价相结合，</w:t>
      </w:r>
      <w:r>
        <w:rPr>
          <w:rFonts w:hint="eastAsia" w:ascii="宋体" w:hAnsi="宋体" w:eastAsia="宋体" w:cs="宋体"/>
          <w:spacing w:val="-4"/>
          <w:sz w:val="24"/>
          <w:szCs w:val="24"/>
        </w:rPr>
        <w:t>部分专业课程可以聘请企业教师参与评价；专业课程的考核评价尽量减少理</w:t>
      </w:r>
      <w:r>
        <w:rPr>
          <w:rFonts w:hint="eastAsia" w:ascii="宋体" w:hAnsi="宋体" w:eastAsia="宋体" w:cs="宋体"/>
          <w:spacing w:val="-2"/>
          <w:sz w:val="24"/>
          <w:szCs w:val="24"/>
        </w:rPr>
        <w:t>论考试方式，而应以实操考核、项目考核和过程考核为主，学习过程性评价与终结性评价相结合；评价内容应涵盖情感态度、岗位能力、职业行为、知</w:t>
      </w:r>
      <w:r>
        <w:rPr>
          <w:rFonts w:hint="eastAsia" w:ascii="宋体" w:hAnsi="宋体" w:eastAsia="宋体" w:cs="宋体"/>
          <w:sz w:val="24"/>
          <w:szCs w:val="24"/>
        </w:rPr>
        <w:t>识点的掌握、技能的熟练程度、完成任务的质量等。</w:t>
      </w:r>
    </w:p>
    <w:p w14:paraId="63951AF9">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560"/>
        <w:jc w:val="both"/>
        <w:rPr>
          <w:rFonts w:hint="eastAsia" w:ascii="宋体" w:hAnsi="宋体" w:eastAsia="宋体" w:cs="宋体"/>
          <w:sz w:val="24"/>
          <w:szCs w:val="24"/>
        </w:rPr>
      </w:pPr>
      <w:r>
        <w:rPr>
          <w:rFonts w:hint="eastAsia" w:ascii="宋体" w:hAnsi="宋体" w:eastAsia="宋体" w:cs="宋体"/>
          <w:spacing w:val="-1"/>
          <w:sz w:val="24"/>
          <w:szCs w:val="24"/>
        </w:rPr>
        <w:t>关于跟岗实习和顶岗实习课程的评价，成立由企业</w:t>
      </w:r>
      <w:r>
        <w:rPr>
          <w:rFonts w:hint="eastAsia" w:ascii="宋体" w:hAnsi="宋体" w:eastAsia="宋体" w:cs="宋体"/>
          <w:sz w:val="24"/>
          <w:szCs w:val="24"/>
        </w:rPr>
        <w:t>（兼职）指导教师、</w:t>
      </w:r>
      <w:r>
        <w:rPr>
          <w:rFonts w:hint="eastAsia" w:ascii="宋体" w:hAnsi="宋体" w:eastAsia="宋体" w:cs="宋体"/>
          <w:spacing w:val="-4"/>
          <w:sz w:val="24"/>
          <w:szCs w:val="24"/>
        </w:rPr>
        <w:t>专业指导教师和班主任组成的考核组，主要对学生在顶岗实习期间的劳动纪</w:t>
      </w:r>
      <w:r>
        <w:rPr>
          <w:rFonts w:hint="eastAsia" w:ascii="宋体" w:hAnsi="宋体" w:eastAsia="宋体" w:cs="宋体"/>
          <w:spacing w:val="-1"/>
          <w:sz w:val="24"/>
          <w:szCs w:val="24"/>
        </w:rPr>
        <w:t>律、工作态度、团队合作精神、人际沟通能力、专业技术能力和任务完成等</w:t>
      </w:r>
      <w:r>
        <w:rPr>
          <w:rFonts w:hint="eastAsia" w:ascii="宋体" w:hAnsi="宋体" w:eastAsia="宋体" w:cs="宋体"/>
          <w:sz w:val="24"/>
          <w:szCs w:val="24"/>
        </w:rPr>
        <w:t>方面情况进行考核评价。</w:t>
      </w:r>
    </w:p>
    <w:p w14:paraId="49C0604F">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354" w:firstLineChars="147"/>
        <w:rPr>
          <w:rFonts w:hint="eastAsia" w:ascii="宋体" w:hAnsi="宋体" w:eastAsia="宋体" w:cs="宋体"/>
          <w:b/>
          <w:sz w:val="24"/>
          <w:szCs w:val="24"/>
        </w:rPr>
      </w:pPr>
      <w:r>
        <w:rPr>
          <w:rFonts w:hint="eastAsia" w:ascii="宋体" w:hAnsi="宋体" w:eastAsia="宋体" w:cs="宋体"/>
          <w:b/>
          <w:sz w:val="24"/>
          <w:szCs w:val="24"/>
        </w:rPr>
        <w:t>（四）质量管理</w:t>
      </w:r>
    </w:p>
    <w:p w14:paraId="7628B778">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561"/>
        <w:jc w:val="both"/>
        <w:rPr>
          <w:rFonts w:hint="eastAsia" w:ascii="宋体" w:hAnsi="宋体" w:eastAsia="宋体" w:cs="宋体"/>
          <w:sz w:val="24"/>
          <w:szCs w:val="24"/>
        </w:rPr>
      </w:pPr>
      <w:r>
        <w:rPr>
          <w:rFonts w:hint="eastAsia" w:ascii="宋体" w:hAnsi="宋体" w:eastAsia="宋体" w:cs="宋体"/>
          <w:spacing w:val="-1"/>
          <w:sz w:val="24"/>
          <w:szCs w:val="24"/>
        </w:rPr>
        <w:t>贯彻立德树人、知行合一，以服务发展为宗旨，以促进就业为导向的指导思想，建立机电技术应用专业建设和教学质量诊改机制，完善教学运行管理和质量监控机制，完善课堂教学评价、实习实训、毕业设计及专业调研、人才培养方案更新、资源建设等方面质量标准建设，通过教学实施、过程监</w:t>
      </w:r>
      <w:r>
        <w:rPr>
          <w:rFonts w:hint="eastAsia" w:ascii="宋体" w:hAnsi="宋体" w:eastAsia="宋体" w:cs="宋体"/>
          <w:sz w:val="24"/>
          <w:szCs w:val="24"/>
        </w:rPr>
        <w:t>控、质量评价和持续改进，达成人才培养规格。</w:t>
      </w:r>
    </w:p>
    <w:p w14:paraId="3DD88116">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561"/>
        <w:jc w:val="both"/>
        <w:rPr>
          <w:rFonts w:hint="eastAsia" w:ascii="宋体" w:hAnsi="宋体" w:eastAsia="宋体" w:cs="宋体"/>
          <w:sz w:val="24"/>
          <w:szCs w:val="24"/>
        </w:rPr>
      </w:pPr>
      <w:r>
        <w:rPr>
          <w:rFonts w:hint="eastAsia" w:ascii="宋体" w:hAnsi="宋体" w:eastAsia="宋体" w:cs="宋体"/>
          <w:sz w:val="24"/>
          <w:szCs w:val="24"/>
        </w:rPr>
        <w:t>完善机电技术应用专业教学管理机制，加强日常教学组织运行与管理，</w:t>
      </w:r>
      <w:r>
        <w:rPr>
          <w:rFonts w:hint="eastAsia" w:ascii="宋体" w:hAnsi="宋体" w:eastAsia="宋体" w:cs="宋体"/>
          <w:spacing w:val="-138"/>
          <w:sz w:val="24"/>
          <w:szCs w:val="24"/>
        </w:rPr>
        <w:t xml:space="preserve"> </w:t>
      </w:r>
      <w:r>
        <w:rPr>
          <w:rFonts w:hint="eastAsia" w:ascii="宋体" w:hAnsi="宋体" w:eastAsia="宋体" w:cs="宋体"/>
          <w:sz w:val="24"/>
          <w:szCs w:val="24"/>
        </w:rPr>
        <w:t>定期开展课程建设水平与教学质量诊断与改进，健全巡课、听课、评教等制度，建立与企业联动的实践教学环节监督制度，严明教学纪律，强化教学组织功能，定期开展公开课，示范课等教研活动。同时建立毕业生跟踪反馈机制及社会评价机制，对生源情况、在校生学业水平、毕业生就业情况进行分</w:t>
      </w:r>
      <w:r>
        <w:rPr>
          <w:rFonts w:hint="eastAsia" w:ascii="宋体" w:hAnsi="宋体" w:eastAsia="宋体" w:cs="宋体"/>
          <w:spacing w:val="-15"/>
          <w:sz w:val="24"/>
          <w:szCs w:val="24"/>
        </w:rPr>
        <w:t>析，定期评价人才培养质量和培养目标达成情况，并充分利用评价分析结果，</w:t>
      </w:r>
      <w:r>
        <w:rPr>
          <w:rFonts w:hint="eastAsia" w:ascii="宋体" w:hAnsi="宋体" w:eastAsia="宋体" w:cs="宋体"/>
          <w:spacing w:val="-138"/>
          <w:sz w:val="24"/>
          <w:szCs w:val="24"/>
        </w:rPr>
        <w:t xml:space="preserve"> </w:t>
      </w:r>
      <w:r>
        <w:rPr>
          <w:rFonts w:hint="eastAsia" w:ascii="宋体" w:hAnsi="宋体" w:eastAsia="宋体" w:cs="宋体"/>
          <w:sz w:val="24"/>
          <w:szCs w:val="24"/>
        </w:rPr>
        <w:t>有效改进专业教学，持续提高人才培养质量。</w:t>
      </w:r>
    </w:p>
    <w:p w14:paraId="56C07FA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18" w:name="_TOC_250001"/>
      <w:bookmarkEnd w:id="18"/>
      <w:bookmarkStart w:id="19" w:name="_Toc24431"/>
      <w:r>
        <w:rPr>
          <w:rFonts w:hint="eastAsia" w:ascii="宋体" w:hAnsi="宋体" w:eastAsia="宋体" w:cs="宋体"/>
          <w:b/>
          <w:sz w:val="24"/>
          <w:szCs w:val="24"/>
        </w:rPr>
        <w:t>九、毕业要求</w:t>
      </w:r>
      <w:bookmarkEnd w:id="19"/>
      <w:r>
        <w:rPr>
          <w:rFonts w:hint="eastAsia" w:ascii="宋体" w:hAnsi="宋体" w:eastAsia="宋体" w:cs="宋体"/>
          <w:b/>
          <w:sz w:val="24"/>
          <w:szCs w:val="24"/>
        </w:rPr>
        <w:t xml:space="preserve"> </w:t>
      </w:r>
    </w:p>
    <w:p w14:paraId="61AF612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lang w:bidi="ar"/>
        </w:rPr>
        <w:t>根据专业人才培养方案确定的目标和培养规格，完成规定的实习实训，全部课程考核合格或修满学分，准予毕业。</w:t>
      </w:r>
      <w:r>
        <w:rPr>
          <w:rFonts w:hint="eastAsia" w:ascii="宋体" w:hAnsi="宋体" w:eastAsia="宋体" w:cs="宋体"/>
          <w:sz w:val="24"/>
          <w:szCs w:val="24"/>
        </w:rPr>
        <w:t xml:space="preserve"> </w:t>
      </w:r>
    </w:p>
    <w:p w14:paraId="7C449D6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1、通过相应课程学习，修满教学计划规定的全部课程且成绩合格； </w:t>
      </w:r>
    </w:p>
    <w:p w14:paraId="2CA54EE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2、通过福建省中等职业学校学生学业水平合格性考试公共基础知识、专业基础知识等科目测试，成绩 D 级及以上； </w:t>
      </w:r>
    </w:p>
    <w:p w14:paraId="62CEBCA9">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 xml:space="preserve">3、通过学校统一组织的专业技能测试，成绩 D 级及以上。 </w:t>
      </w:r>
    </w:p>
    <w:p w14:paraId="55B1930E">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通过规定年限的学习，鼓励学生取得教育部“1+X”证书的维修钳工或维修电工的初级或中级及以上职业技能等级证书。</w:t>
      </w:r>
    </w:p>
    <w:p w14:paraId="624FC551">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20" w:name="_Toc14201"/>
      <w:bookmarkStart w:id="21" w:name="_GoBack"/>
      <w:bookmarkEnd w:id="21"/>
      <w:r>
        <w:rPr>
          <w:rFonts w:hint="eastAsia" w:ascii="宋体" w:hAnsi="宋体" w:eastAsia="宋体" w:cs="宋体"/>
          <w:b/>
          <w:sz w:val="24"/>
          <w:szCs w:val="24"/>
        </w:rPr>
        <w:t>十、说明</w:t>
      </w:r>
      <w:bookmarkEnd w:id="20"/>
      <w:r>
        <w:rPr>
          <w:rFonts w:hint="eastAsia" w:ascii="宋体" w:hAnsi="宋体" w:eastAsia="宋体" w:cs="宋体"/>
          <w:b/>
          <w:sz w:val="24"/>
          <w:szCs w:val="24"/>
        </w:rPr>
        <w:t xml:space="preserve"> </w:t>
      </w:r>
    </w:p>
    <w:p w14:paraId="2CA33C18">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本专业人才培养方案将紧密结合机电行业发展和企业的实际需求，进行滚动修订。专业的教学进程安排可根据教学实际变化进行适当调整。</w:t>
      </w:r>
    </w:p>
    <w:p w14:paraId="6E8096A0">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color w:val="000000"/>
          <w:sz w:val="24"/>
          <w:szCs w:val="24"/>
        </w:rPr>
        <w:t>办学形式多样，专业设置实用，为适应我国工业化、城镇化、现代化对人才的需求，我校坚持以“市场为导向，以就业为中心，及时调整专业设置，坚持多种形式办学、培养多层次人才。</w:t>
      </w:r>
    </w:p>
    <w:p w14:paraId="4A527BE2">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p>
    <w:p w14:paraId="56C5C193">
      <w:pPr>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rPr>
          <w:rFonts w:hint="eastAsia" w:ascii="宋体" w:hAnsi="宋体" w:eastAsia="宋体" w:cs="宋体"/>
          <w:sz w:val="24"/>
          <w:szCs w:val="24"/>
        </w:rPr>
      </w:pPr>
    </w:p>
    <w:sectPr>
      <w:footerReference r:id="rId7" w:type="first"/>
      <w:footerReference r:id="rId6" w:type="default"/>
      <w:pgSz w:w="11910" w:h="16840"/>
      <w:pgMar w:top="1440" w:right="1797" w:bottom="1440" w:left="1797" w:header="680" w:footer="680" w:gutter="0"/>
      <w:pgNumType w:fmt="decimal"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B41B4">
    <w:pPr>
      <w:pStyle w:val="4"/>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C4DA8">
    <w:pPr>
      <w:pStyle w:val="4"/>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4B887">
    <w:pPr>
      <w:pStyle w:val="4"/>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36E308C">
                          <w:pPr>
                            <w:pStyle w:val="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136E308C">
                    <w:pPr>
                      <w:pStyle w:val="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24724">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2F02C9B">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72F02C9B">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7"/>
      <w:pBdr>
        <w:bottom w:val="single" w:color="auto" w:sz="4" w:space="1"/>
      </w:pBdr>
      <w:ind w:firstLine="540" w:firstLineChars="300"/>
    </w:pPr>
    <w:r>
      <w:drawing>
        <wp:anchor distT="0" distB="0" distL="114300" distR="114300" simplePos="0" relativeHeight="251659264"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6212A435">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D49D0"/>
    <w:rsid w:val="056E1CD2"/>
    <w:rsid w:val="7A2E7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9"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仿宋" w:hAnsi="仿宋" w:eastAsia="仿宋" w:cs="仿宋"/>
      <w:sz w:val="22"/>
      <w:szCs w:val="22"/>
      <w:lang w:val="en-US" w:eastAsia="zh-CN" w:bidi="ar-SA"/>
    </w:rPr>
  </w:style>
  <w:style w:type="paragraph" w:styleId="2">
    <w:name w:val="heading 1"/>
    <w:basedOn w:val="1"/>
    <w:next w:val="1"/>
    <w:qFormat/>
    <w:uiPriority w:val="99"/>
    <w:pPr>
      <w:keepNext/>
      <w:keepLines/>
      <w:spacing w:before="340" w:after="330" w:line="420" w:lineRule="auto"/>
      <w:ind w:firstLine="600" w:firstLineChars="200"/>
      <w:outlineLvl w:val="0"/>
    </w:pPr>
    <w:rPr>
      <w:rFonts w:ascii="Times New Roman" w:hAnsi="Times New Roman" w:eastAsia="黑体"/>
      <w:b/>
      <w:bCs/>
      <w:kern w:val="44"/>
      <w:sz w:val="32"/>
      <w:szCs w:val="32"/>
    </w:rPr>
  </w:style>
  <w:style w:type="paragraph" w:styleId="3">
    <w:name w:val="heading 2"/>
    <w:basedOn w:val="1"/>
    <w:next w:val="1"/>
    <w:qFormat/>
    <w:uiPriority w:val="1"/>
    <w:pPr>
      <w:ind w:left="816"/>
      <w:outlineLvl w:val="1"/>
    </w:pPr>
    <w:rPr>
      <w:rFonts w:ascii="黑体" w:hAnsi="黑体" w:eastAsia="黑体" w:cs="黑体"/>
      <w:sz w:val="30"/>
      <w:szCs w:val="30"/>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qFormat/>
    <w:uiPriority w:val="1"/>
    <w:rPr>
      <w:sz w:val="28"/>
      <w:szCs w:val="28"/>
    </w:rPr>
  </w:style>
  <w:style w:type="paragraph" w:styleId="5">
    <w:name w:val="Balloon Text"/>
    <w:basedOn w:val="1"/>
    <w:unhideWhenUsed/>
    <w:qFormat/>
    <w:uiPriority w:val="99"/>
    <w:rPr>
      <w:sz w:val="18"/>
      <w:szCs w:val="18"/>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1"/>
    <w:pPr>
      <w:spacing w:before="240"/>
      <w:ind w:left="216"/>
    </w:pPr>
    <w:rPr>
      <w:b/>
      <w:bCs/>
      <w:sz w:val="30"/>
      <w:szCs w:val="30"/>
    </w:rPr>
  </w:style>
  <w:style w:type="character" w:styleId="11">
    <w:name w:val="Hyperlink"/>
    <w:qFormat/>
    <w:uiPriority w:val="0"/>
    <w:rPr>
      <w:color w:val="3B3B3B"/>
      <w:u w:val="none"/>
    </w:rPr>
  </w:style>
  <w:style w:type="paragraph" w:customStyle="1" w:styleId="12">
    <w:name w:val="Table Paragraph"/>
    <w:basedOn w:val="1"/>
    <w:qFormat/>
    <w:uiPriority w:val="1"/>
  </w:style>
  <w:style w:type="character" w:customStyle="1" w:styleId="13">
    <w:name w:val="font11"/>
    <w:qFormat/>
    <w:uiPriority w:val="0"/>
    <w:rPr>
      <w:rFonts w:hint="eastAsia" w:ascii="宋体" w:hAnsi="宋体" w:eastAsia="宋体" w:cs="宋体"/>
      <w:color w:val="000000"/>
      <w:sz w:val="18"/>
      <w:szCs w:val="18"/>
      <w:u w:val="none"/>
    </w:rPr>
  </w:style>
  <w:style w:type="paragraph" w:customStyle="1" w:styleId="14">
    <w:name w:val="佐证材料首页-上标题样式"/>
    <w:basedOn w:val="1"/>
    <w:qFormat/>
    <w:uiPriority w:val="0"/>
    <w:pPr>
      <w:jc w:val="center"/>
    </w:pPr>
    <w:rPr>
      <w:rFonts w:ascii="黑体" w:hAnsi="黑体" w:eastAsia="黑体"/>
      <w:b/>
      <w:sz w:val="44"/>
      <w:szCs w:val="44"/>
    </w:rPr>
  </w:style>
  <w:style w:type="paragraph" w:customStyle="1" w:styleId="15">
    <w:name w:val="佐证材料首页-标题样式"/>
    <w:basedOn w:val="1"/>
    <w:qFormat/>
    <w:uiPriority w:val="0"/>
    <w:pPr>
      <w:jc w:val="center"/>
    </w:pPr>
    <w:rPr>
      <w:rFonts w:ascii="黑体" w:hAnsi="黑体" w:eastAsia="黑体"/>
      <w:b/>
      <w:sz w:val="52"/>
      <w:szCs w:val="52"/>
    </w:rPr>
  </w:style>
  <w:style w:type="paragraph" w:customStyle="1" w:styleId="16">
    <w:name w:val="佐证材料首页-落款样式"/>
    <w:basedOn w:val="1"/>
    <w:qFormat/>
    <w:uiPriority w:val="99"/>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9367</Words>
  <Characters>9547</Characters>
  <Lines>0</Lines>
  <Paragraphs>0</Paragraphs>
  <TotalTime>1</TotalTime>
  <ScaleCrop>false</ScaleCrop>
  <LinksUpToDate>false</LinksUpToDate>
  <CharactersWithSpaces>9620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2025-08-21T14:52:27Z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